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62" w:rsidRPr="00623662" w:rsidRDefault="00623662" w:rsidP="00623662">
      <w:pPr>
        <w:pStyle w:val="Default"/>
        <w:spacing w:line="360" w:lineRule="auto"/>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Default="00623662" w:rsidP="00623662">
      <w:pPr>
        <w:pStyle w:val="Default"/>
        <w:spacing w:line="360" w:lineRule="auto"/>
        <w:jc w:val="center"/>
        <w:rPr>
          <w:b/>
          <w:bCs/>
        </w:rPr>
      </w:pPr>
    </w:p>
    <w:p w:rsidR="00623662" w:rsidRPr="00623662" w:rsidRDefault="00623662" w:rsidP="00623662">
      <w:pPr>
        <w:pStyle w:val="Default"/>
        <w:spacing w:line="360" w:lineRule="auto"/>
        <w:jc w:val="center"/>
      </w:pPr>
      <w:r w:rsidRPr="00623662">
        <w:rPr>
          <w:b/>
          <w:bCs/>
        </w:rPr>
        <w:t>Базовый стандарт</w:t>
      </w:r>
    </w:p>
    <w:p w:rsidR="00623662" w:rsidRPr="00623662" w:rsidRDefault="00623662" w:rsidP="00623662">
      <w:pPr>
        <w:pStyle w:val="Default"/>
        <w:spacing w:line="360" w:lineRule="auto"/>
        <w:jc w:val="center"/>
      </w:pPr>
      <w:r w:rsidRPr="00623662">
        <w:rPr>
          <w:b/>
          <w:bCs/>
        </w:rPr>
        <w:t>совершения брокером операций на финансовом рынке</w:t>
      </w:r>
    </w:p>
    <w:p w:rsidR="00623662" w:rsidRPr="00E43388" w:rsidRDefault="00E43388" w:rsidP="00E43388">
      <w:pPr>
        <w:pStyle w:val="Default"/>
        <w:spacing w:line="360" w:lineRule="auto"/>
        <w:jc w:val="center"/>
        <w:rPr>
          <w:b/>
          <w:color w:val="auto"/>
        </w:rPr>
      </w:pPr>
      <w:r w:rsidRPr="00E43388">
        <w:rPr>
          <w:b/>
          <w:color w:val="auto"/>
        </w:rPr>
        <w:t>(в новой редакции)</w:t>
      </w:r>
    </w:p>
    <w:p w:rsidR="00623662" w:rsidRPr="00623662" w:rsidRDefault="00623662" w:rsidP="00623662">
      <w:pPr>
        <w:pStyle w:val="Default"/>
        <w:pageBreakBefore/>
        <w:spacing w:line="360" w:lineRule="auto"/>
        <w:ind w:firstLine="567"/>
        <w:rPr>
          <w:color w:val="auto"/>
        </w:rPr>
      </w:pPr>
      <w:r w:rsidRPr="00623662">
        <w:rPr>
          <w:color w:val="auto"/>
        </w:rPr>
        <w:lastRenderedPageBreak/>
        <w:t xml:space="preserve">Настоящий Базовый стандарт совершения брокером операций на финансовом рынке (далее – Базовый стандарт) разработан на основании части 1 статьи 5 Федерального закона от 13 июля 2015 года №223-ФЗ «О саморегулируемых организациях в сфере финансового рынка» в соответствии с требованиями Указания Банка России от 30 мая 2016 года № 4026-У «О перечне обязательных для разработки саморегулируемыми организациями в сфере финансового рынка, объединяющими брокеров, дилеров, управляющих, депозитариев, регистраторов,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p>
    <w:p w:rsidR="00623662" w:rsidRPr="00623662" w:rsidRDefault="00623662" w:rsidP="00623662">
      <w:pPr>
        <w:pStyle w:val="Default"/>
        <w:spacing w:line="360" w:lineRule="auto"/>
        <w:ind w:firstLine="567"/>
        <w:rPr>
          <w:color w:val="auto"/>
        </w:rPr>
      </w:pPr>
      <w:r w:rsidRPr="00623662">
        <w:rPr>
          <w:b/>
          <w:bCs/>
          <w:color w:val="auto"/>
        </w:rPr>
        <w:t xml:space="preserve">1. Общие положения </w:t>
      </w:r>
    </w:p>
    <w:p w:rsidR="00623662" w:rsidRPr="00623662" w:rsidRDefault="00623662" w:rsidP="00623662">
      <w:pPr>
        <w:pStyle w:val="Default"/>
        <w:spacing w:line="360" w:lineRule="auto"/>
        <w:ind w:firstLine="567"/>
        <w:rPr>
          <w:color w:val="auto"/>
        </w:rPr>
      </w:pPr>
      <w:r w:rsidRPr="00623662">
        <w:rPr>
          <w:color w:val="auto"/>
        </w:rPr>
        <w:t xml:space="preserve">1.1. Базовый стандарт обязателен для исполнения всеми профессиональными участниками рынка ценных бумаг, осуществляющими брокерскую деятельность, вне зависимости от их членства в саморегулируемой организации в сфере финансового рынка, объединяющей брокеров (далее – саморегулируемая организация). </w:t>
      </w:r>
    </w:p>
    <w:p w:rsidR="00623662" w:rsidRPr="00623662" w:rsidRDefault="00623662" w:rsidP="00623662">
      <w:pPr>
        <w:pStyle w:val="Default"/>
        <w:spacing w:line="360" w:lineRule="auto"/>
        <w:ind w:firstLine="567"/>
        <w:rPr>
          <w:color w:val="auto"/>
        </w:rPr>
      </w:pPr>
      <w:r w:rsidRPr="00623662">
        <w:rPr>
          <w:color w:val="auto"/>
        </w:rPr>
        <w:t xml:space="preserve">1.2. Базовый стандарт устанавливает условия и порядок совершения следующих операций на финансовом рынке, подлежащих стандартизации при осуществлении брокерской деятельности, включая операции с ценными бумагами и денежными средствами (в том числе иностранной валютой): </w:t>
      </w:r>
    </w:p>
    <w:p w:rsidR="00623662" w:rsidRPr="00623662" w:rsidRDefault="00623662" w:rsidP="00623662">
      <w:pPr>
        <w:pStyle w:val="Default"/>
        <w:spacing w:line="360" w:lineRule="auto"/>
        <w:ind w:firstLine="567"/>
        <w:rPr>
          <w:color w:val="auto"/>
        </w:rPr>
      </w:pPr>
      <w:r w:rsidRPr="00623662">
        <w:rPr>
          <w:color w:val="auto"/>
        </w:rPr>
        <w:t xml:space="preserve">а) исполнение поручений клиентов; </w:t>
      </w:r>
    </w:p>
    <w:p w:rsidR="00623662" w:rsidRPr="00623662" w:rsidRDefault="00623662" w:rsidP="00623662">
      <w:pPr>
        <w:pStyle w:val="Default"/>
        <w:spacing w:line="360" w:lineRule="auto"/>
        <w:ind w:firstLine="567"/>
        <w:rPr>
          <w:color w:val="auto"/>
        </w:rPr>
      </w:pPr>
      <w:r w:rsidRPr="00623662">
        <w:rPr>
          <w:color w:val="auto"/>
        </w:rPr>
        <w:t xml:space="preserve">б) использование денежных средств и ценных бумаг клиентов в интересах брокера. </w:t>
      </w:r>
    </w:p>
    <w:p w:rsidR="00623662" w:rsidRDefault="00623662" w:rsidP="00623662">
      <w:pPr>
        <w:pStyle w:val="Default"/>
        <w:spacing w:line="360" w:lineRule="auto"/>
        <w:ind w:firstLine="567"/>
        <w:rPr>
          <w:color w:val="auto"/>
        </w:rPr>
      </w:pPr>
      <w:r w:rsidRPr="00623662">
        <w:rPr>
          <w:color w:val="auto"/>
        </w:rPr>
        <w:t>1.3. В Базовом стандарте используются с</w:t>
      </w:r>
      <w:r>
        <w:rPr>
          <w:color w:val="auto"/>
        </w:rPr>
        <w:t>ледующие термины и определения:</w:t>
      </w:r>
    </w:p>
    <w:p w:rsidR="00623662" w:rsidRPr="00623662" w:rsidRDefault="00623662" w:rsidP="00623662">
      <w:pPr>
        <w:pStyle w:val="Default"/>
        <w:spacing w:line="360" w:lineRule="auto"/>
        <w:ind w:firstLine="567"/>
        <w:rPr>
          <w:color w:val="auto"/>
        </w:rPr>
      </w:pPr>
      <w:r w:rsidRPr="00623662">
        <w:rPr>
          <w:b/>
          <w:bCs/>
          <w:color w:val="auto"/>
        </w:rPr>
        <w:t xml:space="preserve">поручение </w:t>
      </w:r>
      <w:r w:rsidRPr="00623662">
        <w:rPr>
          <w:color w:val="auto"/>
        </w:rPr>
        <w:t xml:space="preserve">– указание клиента брокеру совершить одну или несколько сделок с имуществом клиента в соответствии с договором о брокерском обслуживании; </w:t>
      </w:r>
    </w:p>
    <w:p w:rsidR="00623662" w:rsidRDefault="00623662" w:rsidP="00623662">
      <w:pPr>
        <w:pStyle w:val="Default"/>
        <w:spacing w:line="360" w:lineRule="auto"/>
        <w:ind w:firstLine="567"/>
        <w:rPr>
          <w:color w:val="auto"/>
        </w:rPr>
      </w:pPr>
      <w:r w:rsidRPr="00623662">
        <w:rPr>
          <w:b/>
          <w:bCs/>
          <w:color w:val="auto"/>
        </w:rPr>
        <w:t xml:space="preserve">длящееся поручение </w:t>
      </w:r>
      <w:r w:rsidRPr="00623662">
        <w:rPr>
          <w:color w:val="auto"/>
        </w:rPr>
        <w:t xml:space="preserve">– поручение, предусматривающее возможность неоднократного его исполнения при наступлении условий, предусмотренных поручением (договором о брокерском обслуживании); </w:t>
      </w:r>
    </w:p>
    <w:p w:rsidR="00E43388" w:rsidRPr="001E289E"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4F4916">
        <w:rPr>
          <w:rFonts w:ascii="Times New Roman" w:hAnsi="Times New Roman" w:cs="Times New Roman"/>
          <w:b/>
          <w:sz w:val="24"/>
          <w:szCs w:val="24"/>
        </w:rPr>
        <w:t>условное поручение</w:t>
      </w:r>
      <w:r w:rsidRPr="001E289E">
        <w:rPr>
          <w:rFonts w:ascii="Times New Roman" w:hAnsi="Times New Roman" w:cs="Times New Roman"/>
          <w:sz w:val="24"/>
          <w:szCs w:val="24"/>
        </w:rPr>
        <w:t xml:space="preserve"> - поручение, подлежащее исполнению при наступлении одного или нескольких условий, предусмотренных поручением и (или) договором о брокерском обслуживании;</w:t>
      </w:r>
    </w:p>
    <w:p w:rsidR="00623662" w:rsidRPr="00623662" w:rsidRDefault="00623662" w:rsidP="00623662">
      <w:pPr>
        <w:pStyle w:val="Default"/>
        <w:spacing w:line="360" w:lineRule="auto"/>
        <w:ind w:firstLine="567"/>
        <w:rPr>
          <w:color w:val="auto"/>
        </w:rPr>
      </w:pPr>
      <w:r w:rsidRPr="00623662">
        <w:rPr>
          <w:b/>
          <w:bCs/>
          <w:color w:val="auto"/>
        </w:rPr>
        <w:t xml:space="preserve">торговая операция </w:t>
      </w:r>
      <w:r w:rsidRPr="00623662">
        <w:rPr>
          <w:color w:val="auto"/>
        </w:rPr>
        <w:t xml:space="preserve">– совершение сделки с имуществом клиента в соответствии с договором о брокерском обслуживании; </w:t>
      </w:r>
    </w:p>
    <w:p w:rsidR="00623662" w:rsidRPr="00623662" w:rsidRDefault="00623662" w:rsidP="00623662">
      <w:pPr>
        <w:pStyle w:val="Default"/>
        <w:spacing w:line="360" w:lineRule="auto"/>
        <w:ind w:firstLine="567"/>
        <w:rPr>
          <w:color w:val="auto"/>
        </w:rPr>
      </w:pPr>
      <w:r w:rsidRPr="00623662">
        <w:rPr>
          <w:b/>
          <w:bCs/>
          <w:color w:val="auto"/>
        </w:rPr>
        <w:t xml:space="preserve">закрытие позиции клиента </w:t>
      </w:r>
      <w:r w:rsidRPr="00623662">
        <w:rPr>
          <w:color w:val="auto"/>
        </w:rPr>
        <w:t xml:space="preserve">– сделка или несколько сделок, совершаемые брокером, в том числе на основании длящегося поручения, в целях погашения задолженности клиента по маржинальным сделкам, прекращения обязательств по иным сделкам, </w:t>
      </w:r>
      <w:r w:rsidRPr="00623662">
        <w:rPr>
          <w:color w:val="auto"/>
        </w:rPr>
        <w:lastRenderedPageBreak/>
        <w:t xml:space="preserve">совершенным за счет этого клиента, или снижения рисков по производным финансовым инструментам. К закрытию позиции не относится перенос позиции; </w:t>
      </w:r>
    </w:p>
    <w:p w:rsidR="00623662" w:rsidRPr="00623662" w:rsidRDefault="00623662" w:rsidP="00623662">
      <w:pPr>
        <w:pStyle w:val="Default"/>
        <w:spacing w:line="360" w:lineRule="auto"/>
        <w:ind w:firstLine="567"/>
        <w:rPr>
          <w:color w:val="auto"/>
        </w:rPr>
      </w:pPr>
      <w:r w:rsidRPr="00623662">
        <w:rPr>
          <w:b/>
          <w:bCs/>
          <w:color w:val="auto"/>
        </w:rPr>
        <w:t xml:space="preserve">перенос позиции </w:t>
      </w:r>
      <w:r w:rsidRPr="00623662">
        <w:rPr>
          <w:color w:val="auto"/>
        </w:rPr>
        <w:t xml:space="preserve">– сделки, совершаемые в целях прекращения обязательств по сделкам с ближайшим сроком исполнения и возникновения новых обязательств с тем же предметом, но более поздним сроком исполнения; </w:t>
      </w:r>
    </w:p>
    <w:p w:rsidR="00623662" w:rsidRDefault="00623662" w:rsidP="00623662">
      <w:pPr>
        <w:pStyle w:val="Default"/>
        <w:spacing w:line="360" w:lineRule="auto"/>
        <w:ind w:firstLine="567"/>
        <w:rPr>
          <w:color w:val="auto"/>
        </w:rPr>
      </w:pPr>
      <w:r w:rsidRPr="00623662">
        <w:rPr>
          <w:b/>
          <w:bCs/>
          <w:color w:val="auto"/>
        </w:rPr>
        <w:t xml:space="preserve">использование денежных средств и (или) ценных бумаг клиента в интересах брокера </w:t>
      </w:r>
      <w:r w:rsidRPr="00623662">
        <w:rPr>
          <w:color w:val="auto"/>
        </w:rPr>
        <w:t>– зачисление денежных средств и (или) ценных бумаг на собственный счет брокера, либо использование их для обеспечения исполнения и (или) для исполнения брокером собственных обязательств и (или) обязательств, подлежащих исполнен</w:t>
      </w:r>
      <w:r w:rsidR="00E43388">
        <w:rPr>
          <w:color w:val="auto"/>
        </w:rPr>
        <w:t>ию за счет других его клиентов;</w:t>
      </w:r>
    </w:p>
    <w:p w:rsidR="00E43388" w:rsidRPr="001E289E"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E43388">
        <w:rPr>
          <w:rFonts w:ascii="Times New Roman" w:hAnsi="Times New Roman" w:cs="Times New Roman"/>
          <w:b/>
          <w:sz w:val="24"/>
          <w:szCs w:val="24"/>
        </w:rPr>
        <w:t>индикативная котировка</w:t>
      </w:r>
      <w:r w:rsidRPr="001E289E">
        <w:rPr>
          <w:rFonts w:ascii="Times New Roman" w:hAnsi="Times New Roman" w:cs="Times New Roman"/>
          <w:sz w:val="24"/>
          <w:szCs w:val="24"/>
        </w:rPr>
        <w:t xml:space="preserve"> – цена финансового инструмента, объявленная или сформированная (рассчитанная) брокером самостоятельно или иным лицом без принятия на себя обязательств каким-либо лицом по совершению сделки по указанной цене.</w:t>
      </w:r>
    </w:p>
    <w:p w:rsidR="00E43388" w:rsidRPr="00623662" w:rsidRDefault="00E43388" w:rsidP="00623662">
      <w:pPr>
        <w:pStyle w:val="Default"/>
        <w:spacing w:line="360" w:lineRule="auto"/>
        <w:ind w:firstLine="567"/>
        <w:rPr>
          <w:color w:val="auto"/>
        </w:rPr>
      </w:pPr>
    </w:p>
    <w:p w:rsidR="00623662" w:rsidRPr="00623662" w:rsidRDefault="00623662" w:rsidP="00623662">
      <w:pPr>
        <w:pStyle w:val="Default"/>
        <w:spacing w:line="360" w:lineRule="auto"/>
        <w:ind w:firstLine="567"/>
        <w:rPr>
          <w:color w:val="auto"/>
        </w:rPr>
      </w:pPr>
      <w:r w:rsidRPr="00623662">
        <w:rPr>
          <w:b/>
          <w:bCs/>
          <w:color w:val="auto"/>
        </w:rPr>
        <w:t xml:space="preserve">2. Условия и порядок исполнения поручений клиентов </w:t>
      </w:r>
    </w:p>
    <w:p w:rsidR="00623662" w:rsidRPr="00623662" w:rsidRDefault="00623662" w:rsidP="00623662">
      <w:pPr>
        <w:pStyle w:val="Default"/>
        <w:spacing w:line="360" w:lineRule="auto"/>
        <w:ind w:firstLine="567"/>
        <w:rPr>
          <w:color w:val="auto"/>
        </w:rPr>
      </w:pPr>
      <w:r w:rsidRPr="00623662">
        <w:rPr>
          <w:color w:val="auto"/>
        </w:rPr>
        <w:t xml:space="preserve">2.1. Брокер исполняет поручение клиента при соблюдении одновременно следующих условий: </w:t>
      </w:r>
    </w:p>
    <w:p w:rsidR="00623662" w:rsidRDefault="00623662" w:rsidP="00623662">
      <w:pPr>
        <w:pStyle w:val="Default"/>
        <w:spacing w:line="360" w:lineRule="auto"/>
        <w:ind w:firstLine="567"/>
        <w:rPr>
          <w:color w:val="auto"/>
        </w:rPr>
      </w:pPr>
      <w:r w:rsidRPr="00623662">
        <w:rPr>
          <w:color w:val="auto"/>
        </w:rPr>
        <w:t>а) поручение подано способом, установленным догов</w:t>
      </w:r>
      <w:r>
        <w:rPr>
          <w:color w:val="auto"/>
        </w:rPr>
        <w:t>ором о брокерском обслуживании;</w:t>
      </w:r>
    </w:p>
    <w:p w:rsidR="00623662" w:rsidRPr="00623662" w:rsidRDefault="00623662" w:rsidP="00623662">
      <w:pPr>
        <w:pStyle w:val="Default"/>
        <w:spacing w:line="360" w:lineRule="auto"/>
        <w:ind w:firstLine="567"/>
        <w:rPr>
          <w:color w:val="auto"/>
        </w:rPr>
      </w:pPr>
      <w:r w:rsidRPr="00623662">
        <w:rPr>
          <w:color w:val="auto"/>
        </w:rPr>
        <w:t xml:space="preserve">б) поручение содержит все существенные условия, установленные договором о брокерском обслуживании, а также содержит обязательные реквизиты и/или соответствует установленной форме, если такие реквизиты и/или форма предусмотрены договором о брокерском обслуживании; </w:t>
      </w:r>
    </w:p>
    <w:p w:rsidR="00623662" w:rsidRPr="00623662" w:rsidRDefault="00623662" w:rsidP="00623662">
      <w:pPr>
        <w:pStyle w:val="Default"/>
        <w:spacing w:line="360" w:lineRule="auto"/>
        <w:ind w:firstLine="567"/>
        <w:rPr>
          <w:color w:val="auto"/>
        </w:rPr>
      </w:pPr>
      <w:r w:rsidRPr="00623662">
        <w:rPr>
          <w:color w:val="auto"/>
        </w:rPr>
        <w:t xml:space="preserve">в) наступил срок и (или) условие исполнения поручения, если поручение содержит срок и (или) условие его исполнения; </w:t>
      </w:r>
    </w:p>
    <w:p w:rsidR="00623662" w:rsidRPr="00623662" w:rsidRDefault="00623662" w:rsidP="00623662">
      <w:pPr>
        <w:pStyle w:val="Default"/>
        <w:spacing w:line="360" w:lineRule="auto"/>
        <w:ind w:firstLine="567"/>
        <w:rPr>
          <w:color w:val="auto"/>
        </w:rPr>
      </w:pPr>
      <w:r w:rsidRPr="00623662">
        <w:rPr>
          <w:color w:val="auto"/>
        </w:rPr>
        <w:t xml:space="preserve">г) отсутствуют основания для отказа в приеме и (или) исполнении поручения, если такие основания установлены законодательством Российской Федерации, в том числе нормативными актами Банка России, Базовым стандартом и (или) договором о брокерском обслуживании. </w:t>
      </w:r>
    </w:p>
    <w:p w:rsidR="00623662" w:rsidRPr="00623662" w:rsidRDefault="00623662" w:rsidP="00623662">
      <w:pPr>
        <w:pStyle w:val="Default"/>
        <w:spacing w:line="360" w:lineRule="auto"/>
        <w:ind w:firstLine="567"/>
        <w:rPr>
          <w:color w:val="auto"/>
        </w:rPr>
      </w:pPr>
      <w:r w:rsidRPr="00623662">
        <w:rPr>
          <w:color w:val="auto"/>
        </w:rPr>
        <w:t xml:space="preserve">2.2. Брокер, за исключением случаев, указанных в пункте 2.4 Базового стандарта, на основании информации, предусмотренной пунктом 2.3 Базового стандарта, и руководствуясь критериями, указанными в пункте 2.5 Базового стандарта (при наличии), принимает все разумные меры для совершения торговых операций за счет клиента, в том числе при закрытии позиций клиента, на лучших условиях в соответствии с условиями </w:t>
      </w:r>
      <w:r w:rsidRPr="00623662">
        <w:rPr>
          <w:color w:val="auto"/>
        </w:rPr>
        <w:lastRenderedPageBreak/>
        <w:t xml:space="preserve">поручения и договором о брокерском обслуживании (далее – лучшие условия совершения торговой операции). </w:t>
      </w:r>
    </w:p>
    <w:p w:rsidR="00623662" w:rsidRPr="00623662" w:rsidRDefault="00623662" w:rsidP="00623662">
      <w:pPr>
        <w:pStyle w:val="Default"/>
        <w:spacing w:line="360" w:lineRule="auto"/>
        <w:ind w:firstLine="567"/>
        <w:rPr>
          <w:color w:val="auto"/>
        </w:rPr>
      </w:pPr>
      <w:r w:rsidRPr="00623662">
        <w:rPr>
          <w:color w:val="auto"/>
        </w:rPr>
        <w:t xml:space="preserve">2.3. Совершение торговых операций на лучших условиях предполагает принятие брокером во внимание следующей информации: </w:t>
      </w:r>
    </w:p>
    <w:p w:rsidR="00623662" w:rsidRPr="00623662" w:rsidRDefault="00623662" w:rsidP="00623662">
      <w:pPr>
        <w:pStyle w:val="Default"/>
        <w:spacing w:line="360" w:lineRule="auto"/>
        <w:ind w:firstLine="567"/>
        <w:rPr>
          <w:color w:val="auto"/>
        </w:rPr>
      </w:pPr>
      <w:r w:rsidRPr="00623662">
        <w:rPr>
          <w:color w:val="auto"/>
        </w:rPr>
        <w:t xml:space="preserve">а) цены сделки; </w:t>
      </w:r>
    </w:p>
    <w:p w:rsidR="00623662" w:rsidRPr="00623662" w:rsidRDefault="00623662" w:rsidP="00623662">
      <w:pPr>
        <w:pStyle w:val="Default"/>
        <w:spacing w:line="360" w:lineRule="auto"/>
        <w:ind w:firstLine="567"/>
        <w:rPr>
          <w:color w:val="auto"/>
        </w:rPr>
      </w:pPr>
      <w:r w:rsidRPr="00623662">
        <w:rPr>
          <w:color w:val="auto"/>
        </w:rPr>
        <w:t xml:space="preserve">б) расходов, связанных с совершением сделки и осуществлением расчетов по ней; </w:t>
      </w:r>
    </w:p>
    <w:p w:rsidR="00623662" w:rsidRPr="00623662" w:rsidRDefault="00623662" w:rsidP="00623662">
      <w:pPr>
        <w:pStyle w:val="Default"/>
        <w:spacing w:line="360" w:lineRule="auto"/>
        <w:ind w:firstLine="567"/>
        <w:rPr>
          <w:color w:val="auto"/>
        </w:rPr>
      </w:pPr>
      <w:r w:rsidRPr="00623662">
        <w:rPr>
          <w:color w:val="auto"/>
        </w:rPr>
        <w:t xml:space="preserve">в) срока исполнения поручения; </w:t>
      </w:r>
    </w:p>
    <w:p w:rsidR="00623662" w:rsidRPr="00623662" w:rsidRDefault="00623662" w:rsidP="00623662">
      <w:pPr>
        <w:pStyle w:val="Default"/>
        <w:spacing w:line="360" w:lineRule="auto"/>
        <w:ind w:firstLine="567"/>
        <w:rPr>
          <w:color w:val="auto"/>
        </w:rPr>
      </w:pPr>
      <w:r w:rsidRPr="00623662">
        <w:rPr>
          <w:color w:val="auto"/>
        </w:rPr>
        <w:t xml:space="preserve">г) возможности исполнения поручения в полном объеме ; </w:t>
      </w:r>
    </w:p>
    <w:p w:rsidR="00623662" w:rsidRPr="00623662" w:rsidRDefault="00623662" w:rsidP="00623662">
      <w:pPr>
        <w:pStyle w:val="Default"/>
        <w:spacing w:line="360" w:lineRule="auto"/>
        <w:ind w:firstLine="567"/>
        <w:rPr>
          <w:color w:val="auto"/>
        </w:rPr>
      </w:pPr>
      <w:r w:rsidRPr="00623662">
        <w:rPr>
          <w:color w:val="auto"/>
        </w:rPr>
        <w:t xml:space="preserve">д) рисков неисполнения сделки, а также признания совершенной сделки недействительной; </w:t>
      </w:r>
    </w:p>
    <w:p w:rsidR="00623662" w:rsidRPr="00623662" w:rsidRDefault="00623662" w:rsidP="00623662">
      <w:pPr>
        <w:pStyle w:val="Default"/>
        <w:spacing w:line="360" w:lineRule="auto"/>
        <w:ind w:firstLine="567"/>
        <w:rPr>
          <w:color w:val="auto"/>
        </w:rPr>
      </w:pPr>
      <w:r w:rsidRPr="00623662">
        <w:rPr>
          <w:color w:val="auto"/>
        </w:rPr>
        <w:t xml:space="preserve">е) периода времени, в который должна быть совершена сделка; </w:t>
      </w:r>
    </w:p>
    <w:p w:rsidR="00623662" w:rsidRDefault="00623662" w:rsidP="00623662">
      <w:pPr>
        <w:pStyle w:val="Default"/>
        <w:spacing w:line="360" w:lineRule="auto"/>
        <w:ind w:firstLine="567"/>
        <w:rPr>
          <w:color w:val="auto"/>
        </w:rPr>
      </w:pPr>
      <w:r w:rsidRPr="00623662">
        <w:rPr>
          <w:color w:val="auto"/>
        </w:rPr>
        <w:t xml:space="preserve">ж) иной информации, имеющей значение для </w:t>
      </w:r>
      <w:r>
        <w:rPr>
          <w:color w:val="auto"/>
        </w:rPr>
        <w:t>клиента.</w:t>
      </w:r>
    </w:p>
    <w:p w:rsidR="00623662" w:rsidRPr="00623662" w:rsidRDefault="00623662" w:rsidP="00623662">
      <w:pPr>
        <w:pStyle w:val="Default"/>
        <w:spacing w:line="360" w:lineRule="auto"/>
        <w:ind w:firstLine="567"/>
        <w:rPr>
          <w:color w:val="auto"/>
        </w:rPr>
      </w:pPr>
      <w:r w:rsidRPr="00623662">
        <w:rPr>
          <w:color w:val="auto"/>
        </w:rPr>
        <w:t xml:space="preserve">2.4. Требования, установленные пунктами 2.2 и 2.3 Базового стандарта, не распространяются на случаи, когда клиент поручил брокеру сделать третьему лицу предложение на совершение торговой операции с указанием цены и (или) иных условий, которые брокер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 </w:t>
      </w:r>
    </w:p>
    <w:p w:rsidR="00623662" w:rsidRPr="00623662" w:rsidRDefault="00623662" w:rsidP="00623662">
      <w:pPr>
        <w:pStyle w:val="Default"/>
        <w:spacing w:line="360" w:lineRule="auto"/>
        <w:ind w:firstLine="567"/>
        <w:rPr>
          <w:color w:val="auto"/>
        </w:rPr>
      </w:pPr>
      <w:r w:rsidRPr="00623662">
        <w:rPr>
          <w:color w:val="auto"/>
        </w:rPr>
        <w:t xml:space="preserve">2.5. Брокер утверждает внутренний документ, устанавливающий политику совершения торговых операций за счет клиентов, который, в том числе может содержать следующие критерии определения приоритетности информации, указанной в пункте 2.3 Базового стандарта: </w:t>
      </w:r>
    </w:p>
    <w:p w:rsidR="00623662" w:rsidRPr="00623662" w:rsidRDefault="00623662" w:rsidP="00623662">
      <w:pPr>
        <w:pStyle w:val="Default"/>
        <w:spacing w:line="360" w:lineRule="auto"/>
        <w:ind w:firstLine="567"/>
        <w:rPr>
          <w:color w:val="auto"/>
        </w:rPr>
      </w:pPr>
      <w:r w:rsidRPr="00623662">
        <w:rPr>
          <w:color w:val="auto"/>
        </w:rPr>
        <w:t xml:space="preserve">а) категория клиента (квалифицированный инвестор в силу закона, инвестор, признанный квалифицированным, или неквалифицированный инвестор); </w:t>
      </w:r>
    </w:p>
    <w:p w:rsidR="00623662" w:rsidRPr="00623662" w:rsidRDefault="00623662" w:rsidP="00623662">
      <w:pPr>
        <w:pStyle w:val="Default"/>
        <w:spacing w:line="360" w:lineRule="auto"/>
        <w:ind w:firstLine="567"/>
        <w:rPr>
          <w:color w:val="auto"/>
        </w:rPr>
      </w:pPr>
      <w:r w:rsidRPr="00623662">
        <w:rPr>
          <w:color w:val="auto"/>
        </w:rPr>
        <w:t xml:space="preserve">б) существо поручения, включая специальные инструкции, если такие содержатся в поручении; </w:t>
      </w:r>
    </w:p>
    <w:p w:rsidR="00623662" w:rsidRPr="00623662" w:rsidRDefault="00623662" w:rsidP="00623662">
      <w:pPr>
        <w:pStyle w:val="Default"/>
        <w:spacing w:line="360" w:lineRule="auto"/>
        <w:ind w:firstLine="567"/>
        <w:rPr>
          <w:color w:val="auto"/>
        </w:rPr>
      </w:pPr>
      <w:r w:rsidRPr="00623662">
        <w:rPr>
          <w:color w:val="auto"/>
        </w:rPr>
        <w:t xml:space="preserve">в) характеристика финансового инструмента, в отношении которого дается поручение; </w:t>
      </w:r>
    </w:p>
    <w:p w:rsidR="00623662" w:rsidRPr="00623662" w:rsidRDefault="00623662" w:rsidP="00623662">
      <w:pPr>
        <w:pStyle w:val="Default"/>
        <w:spacing w:line="360" w:lineRule="auto"/>
        <w:ind w:firstLine="567"/>
        <w:rPr>
          <w:color w:val="auto"/>
        </w:rPr>
      </w:pPr>
      <w:r w:rsidRPr="00623662">
        <w:rPr>
          <w:color w:val="auto"/>
        </w:rPr>
        <w:t xml:space="preserve">г) торговые характеристики места исполнения поручения или контрагента, через которого исполняется поручение. </w:t>
      </w:r>
    </w:p>
    <w:p w:rsidR="00623662" w:rsidRPr="00623662" w:rsidRDefault="00623662" w:rsidP="00623662">
      <w:pPr>
        <w:pStyle w:val="Default"/>
        <w:spacing w:line="360" w:lineRule="auto"/>
        <w:ind w:firstLine="567"/>
        <w:rPr>
          <w:color w:val="auto"/>
        </w:rPr>
      </w:pPr>
      <w:r w:rsidRPr="00623662">
        <w:rPr>
          <w:color w:val="auto"/>
        </w:rPr>
        <w:t xml:space="preserve">2.6. Брокер размещает на своем официальном сайте в информационно-телекоммуникационной сети «Интернет» внутренний документ, указанный в пункте 2.5 Базового стандарта. </w:t>
      </w:r>
    </w:p>
    <w:p w:rsidR="00623662" w:rsidRPr="00623662" w:rsidRDefault="00623662" w:rsidP="00623662">
      <w:pPr>
        <w:pStyle w:val="Default"/>
        <w:spacing w:line="360" w:lineRule="auto"/>
        <w:ind w:firstLine="567"/>
        <w:rPr>
          <w:color w:val="auto"/>
        </w:rPr>
      </w:pPr>
      <w:r w:rsidRPr="00623662">
        <w:rPr>
          <w:color w:val="auto"/>
        </w:rPr>
        <w:t xml:space="preserve">2.7. В случае если интересы клиента или иные обстоятельства вынуждают брокера отступить от принципа совершения торговых операций на лучших условиях, брокер по </w:t>
      </w:r>
      <w:r w:rsidRPr="00623662">
        <w:rPr>
          <w:color w:val="auto"/>
        </w:rPr>
        <w:lastRenderedPageBreak/>
        <w:t xml:space="preserve">требованию клиента, саморегулируемой организации, членом которой он является, обязан предоставить объяснения своих действий и подтвердить указанные обстоятельства. </w:t>
      </w:r>
    </w:p>
    <w:p w:rsidR="00623662" w:rsidRDefault="00623662" w:rsidP="00623662">
      <w:pPr>
        <w:pStyle w:val="Default"/>
        <w:spacing w:line="360" w:lineRule="auto"/>
        <w:ind w:firstLine="567"/>
        <w:rPr>
          <w:color w:val="auto"/>
        </w:rPr>
      </w:pPr>
      <w:r w:rsidRPr="00623662">
        <w:rPr>
          <w:color w:val="auto"/>
        </w:rPr>
        <w:t>2.8. Требование пункта 2.2 Базового стандарта считае</w:t>
      </w:r>
      <w:r>
        <w:rPr>
          <w:color w:val="auto"/>
        </w:rPr>
        <w:t>тся исполненным, в случае если:</w:t>
      </w:r>
    </w:p>
    <w:p w:rsidR="00623662" w:rsidRPr="00623662" w:rsidRDefault="00623662" w:rsidP="00623662">
      <w:pPr>
        <w:pStyle w:val="Default"/>
        <w:spacing w:line="360" w:lineRule="auto"/>
        <w:ind w:firstLine="567"/>
        <w:rPr>
          <w:color w:val="auto"/>
        </w:rPr>
      </w:pPr>
      <w:r w:rsidRPr="00623662">
        <w:rPr>
          <w:color w:val="auto"/>
        </w:rPr>
        <w:t xml:space="preserve">а) поручение было исполнено на торгах организатора торговли на основе заявок на покупку и заявок на продажу ценных бумаг и (или) иностранной валюты и (или) заявок на заключение договора, являющегося производным финансовым инструментом, по наилучшим из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 </w:t>
      </w:r>
    </w:p>
    <w:p w:rsidR="00623662" w:rsidRPr="00623662" w:rsidRDefault="00623662" w:rsidP="00623662">
      <w:pPr>
        <w:pStyle w:val="Default"/>
        <w:spacing w:line="360" w:lineRule="auto"/>
        <w:ind w:firstLine="567"/>
        <w:rPr>
          <w:color w:val="auto"/>
        </w:rPr>
      </w:pPr>
      <w:r w:rsidRPr="00623662">
        <w:rPr>
          <w:color w:val="auto"/>
        </w:rPr>
        <w:t xml:space="preserve">б) из существа поручения, договора о брокерском обслуживании или характеристик финансового инструмента, в отношении которого было дано поручение, следовала обязанность брокера исполнить это поручение не иначе как на торгах указанного организатора торговли. </w:t>
      </w:r>
    </w:p>
    <w:p w:rsidR="00623662" w:rsidRPr="00623662" w:rsidRDefault="00623662" w:rsidP="00623662">
      <w:pPr>
        <w:pStyle w:val="Default"/>
        <w:spacing w:line="360" w:lineRule="auto"/>
        <w:ind w:firstLine="567"/>
        <w:rPr>
          <w:color w:val="auto"/>
        </w:rPr>
      </w:pPr>
      <w:r w:rsidRPr="00623662">
        <w:rPr>
          <w:color w:val="auto"/>
        </w:rPr>
        <w:t xml:space="preserve">2.9.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 </w:t>
      </w:r>
    </w:p>
    <w:p w:rsidR="00623662" w:rsidRDefault="00623662" w:rsidP="00623662">
      <w:pPr>
        <w:pStyle w:val="Default"/>
        <w:spacing w:line="360" w:lineRule="auto"/>
        <w:ind w:firstLine="567"/>
        <w:rPr>
          <w:color w:val="auto"/>
        </w:rPr>
      </w:pPr>
      <w:r w:rsidRPr="00623662">
        <w:rPr>
          <w:color w:val="auto"/>
        </w:rPr>
        <w:t xml:space="preserve">2.10. Длящееся поручение на предоставление брокером за счет клиента займа ценных бумаг (или на совершение аналогичных по их экономическому содержанию сделок) допускается при условии, что брокер одновременно выступает стороной по такой сделке, действуя за счет заемщика, либо принимает на себя ручательство за исполнение заемщиком такой сделки. </w:t>
      </w:r>
    </w:p>
    <w:p w:rsidR="00E43388" w:rsidRPr="00623662" w:rsidRDefault="00E43388" w:rsidP="00623662">
      <w:pPr>
        <w:pStyle w:val="Default"/>
        <w:spacing w:line="360" w:lineRule="auto"/>
        <w:ind w:firstLine="567"/>
        <w:rPr>
          <w:color w:val="auto"/>
        </w:rPr>
      </w:pPr>
    </w:p>
    <w:p w:rsidR="00623662" w:rsidRPr="00623662" w:rsidRDefault="00623662" w:rsidP="00623662">
      <w:pPr>
        <w:pStyle w:val="Default"/>
        <w:spacing w:line="360" w:lineRule="auto"/>
        <w:ind w:firstLine="567"/>
        <w:rPr>
          <w:color w:val="auto"/>
        </w:rPr>
      </w:pPr>
      <w:r w:rsidRPr="00623662">
        <w:rPr>
          <w:b/>
          <w:bCs/>
          <w:color w:val="auto"/>
        </w:rPr>
        <w:t xml:space="preserve">3. Условия и порядок использования денежных средств и ценных бумаг клиентов в интересах брокера </w:t>
      </w:r>
    </w:p>
    <w:p w:rsidR="00623662" w:rsidRDefault="00623662" w:rsidP="00623662">
      <w:pPr>
        <w:pStyle w:val="Default"/>
        <w:spacing w:line="360" w:lineRule="auto"/>
        <w:ind w:firstLine="567"/>
        <w:rPr>
          <w:color w:val="auto"/>
        </w:rPr>
      </w:pPr>
      <w:r w:rsidRPr="00623662">
        <w:rPr>
          <w:color w:val="auto"/>
        </w:rPr>
        <w:t>3.1. Брокер вправе использовать в своих интересах денежные средства и (или) ценные бумаги клиента, если это предусмотрено договором с клиентом, гарантируя клиенту исполнение его поручений за счет указанных денежных средств и (или) ценных бумаг либо их возврат по требованию клиента в сроки, предусмотренные законодательными и иными нормативными актами, регулирующими брокер</w:t>
      </w:r>
      <w:r>
        <w:rPr>
          <w:color w:val="auto"/>
        </w:rPr>
        <w:t>скую деятельность, и договором.</w:t>
      </w:r>
    </w:p>
    <w:p w:rsidR="00623662" w:rsidRPr="00623662" w:rsidRDefault="00623662" w:rsidP="00623662">
      <w:pPr>
        <w:pStyle w:val="Default"/>
        <w:spacing w:line="360" w:lineRule="auto"/>
        <w:ind w:firstLine="567"/>
        <w:rPr>
          <w:color w:val="auto"/>
        </w:rPr>
      </w:pPr>
      <w:r w:rsidRPr="00623662">
        <w:rPr>
          <w:color w:val="auto"/>
        </w:rPr>
        <w:t xml:space="preserve">Условия и порядок использования в интересах брокера денежных средств клиентов, установленные Базовым стандартом, не распространяются на брокеров, являющихся кредитными организациями. </w:t>
      </w:r>
    </w:p>
    <w:p w:rsidR="00623662" w:rsidRPr="00623662" w:rsidRDefault="00623662" w:rsidP="00623662">
      <w:pPr>
        <w:pStyle w:val="Default"/>
        <w:spacing w:line="360" w:lineRule="auto"/>
        <w:ind w:firstLine="567"/>
        <w:rPr>
          <w:color w:val="auto"/>
        </w:rPr>
      </w:pPr>
      <w:r w:rsidRPr="00623662">
        <w:rPr>
          <w:color w:val="auto"/>
        </w:rPr>
        <w:lastRenderedPageBreak/>
        <w:t xml:space="preserve">3.2. Используя ценные бумаги клиента в своих интересах, брокер вправе распоряжаться ими без поручения клиента, в том числе: </w:t>
      </w:r>
    </w:p>
    <w:p w:rsidR="00623662" w:rsidRPr="00623662" w:rsidRDefault="00623662" w:rsidP="00623662">
      <w:pPr>
        <w:pStyle w:val="Default"/>
        <w:spacing w:line="360" w:lineRule="auto"/>
        <w:ind w:firstLine="567"/>
        <w:rPr>
          <w:color w:val="auto"/>
        </w:rPr>
      </w:pPr>
      <w:r w:rsidRPr="00623662">
        <w:rPr>
          <w:color w:val="auto"/>
        </w:rPr>
        <w:t xml:space="preserve">1) подавать депозитарию (держателю реестра) соответствующие поручения (распоряжения) о проведении операции по счету депо (лицевому счету) от имени клиента, если брокер является его представителем на основании доверенности, за исключением случаев зачисления ценных бумаг на собственный счет брокера; </w:t>
      </w:r>
    </w:p>
    <w:p w:rsidR="00623662" w:rsidRPr="00623662" w:rsidRDefault="00623662" w:rsidP="00623662">
      <w:pPr>
        <w:pStyle w:val="Default"/>
        <w:spacing w:line="360" w:lineRule="auto"/>
        <w:ind w:firstLine="567"/>
        <w:rPr>
          <w:color w:val="auto"/>
        </w:rPr>
      </w:pPr>
      <w:r w:rsidRPr="00623662">
        <w:rPr>
          <w:color w:val="auto"/>
        </w:rPr>
        <w:t xml:space="preserve">2) осуществлять депозитарные операции по счету депо клиента на основании договора с клиентом без депозитарного поручения клиента, если брокер одновременно является депозитарием, учитывающим права на соответствующие ценные бумаги. </w:t>
      </w:r>
    </w:p>
    <w:p w:rsidR="00623662" w:rsidRPr="00623662" w:rsidRDefault="00623662" w:rsidP="00623662">
      <w:pPr>
        <w:pStyle w:val="Default"/>
        <w:spacing w:line="360" w:lineRule="auto"/>
        <w:ind w:firstLine="567"/>
        <w:rPr>
          <w:color w:val="auto"/>
        </w:rPr>
      </w:pPr>
      <w:r w:rsidRPr="00623662">
        <w:rPr>
          <w:color w:val="auto"/>
        </w:rPr>
        <w:t xml:space="preserve">3.3. При заключении договора с клиентом, предусматривающего право брокера использовать в своих интересах денежные средства и (или) ценные бумаги клиента, либо при внесении в указанный договор изменений, предусматривающих указанное право, брокер обязан информировать клиента о возникающих в связи с этим рисках. </w:t>
      </w:r>
    </w:p>
    <w:p w:rsidR="00623662" w:rsidRDefault="00623662" w:rsidP="00623662">
      <w:pPr>
        <w:pStyle w:val="Default"/>
        <w:spacing w:line="360" w:lineRule="auto"/>
        <w:ind w:firstLine="567"/>
        <w:rPr>
          <w:color w:val="auto"/>
        </w:rPr>
      </w:pPr>
      <w:r w:rsidRPr="00623662">
        <w:rPr>
          <w:color w:val="auto"/>
        </w:rPr>
        <w:t>3.4. В случае если по условиям договоров с клиентами, не предоставившими брокеру права использования их денежных средств в интересах брокера, указанные денежные средства зачисляются на клиринговый счет клиринговой организации, на специальный брокерский счет другого брокера или на счет брокера - кредитной организации по договору о брокерском обслуживании, брокер требует от указанных лиц обособленного учета этих средств от денежных средств клиентов, предоставивших брокеру право их использования в интересах брокера, на соответствующих счетах или регистрах (если применимо), открыва</w:t>
      </w:r>
      <w:r>
        <w:rPr>
          <w:color w:val="auto"/>
        </w:rPr>
        <w:t>емых брокеру указанными лицами.</w:t>
      </w:r>
    </w:p>
    <w:p w:rsidR="00623662" w:rsidRPr="00623662" w:rsidRDefault="00623662" w:rsidP="00623662">
      <w:pPr>
        <w:pStyle w:val="Default"/>
        <w:spacing w:line="360" w:lineRule="auto"/>
        <w:ind w:firstLine="567"/>
        <w:rPr>
          <w:color w:val="auto"/>
        </w:rPr>
      </w:pPr>
      <w:r w:rsidRPr="00623662">
        <w:rPr>
          <w:color w:val="auto"/>
        </w:rPr>
        <w:t xml:space="preserve">3.5. При использовании ценных бумаг клиента брокер обязан передать клиенту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 возникло у владельца ценных бумаг в период использования этих ценных бумаг в интересах брокера. </w:t>
      </w:r>
    </w:p>
    <w:p w:rsidR="00623662" w:rsidRPr="00623662" w:rsidRDefault="00623662" w:rsidP="00623662">
      <w:pPr>
        <w:pStyle w:val="Default"/>
        <w:spacing w:line="360" w:lineRule="auto"/>
        <w:ind w:firstLine="567"/>
        <w:rPr>
          <w:color w:val="auto"/>
        </w:rPr>
      </w:pPr>
      <w:r w:rsidRPr="00623662">
        <w:rPr>
          <w:color w:val="auto"/>
        </w:rPr>
        <w:t xml:space="preserve">3.6. Объединение денежных средств клиентов на счетах и регистрах, предусмотренных в пункте 3.4 Базового стандарта не является использованием денежных средств в интересах брокера, если денежных средств каждого клиента, объединенных таким образом с денежными средствами других клиентов, достаточно для исполнения обязательств из сделок, совершенных за счет такого клиента, с учетом денежных средств, которые должны поступить клиенту, либо должны быть уплачены клиентом по ранее совершенным, но еще не исполненным сделкам. </w:t>
      </w:r>
    </w:p>
    <w:p w:rsidR="00623662" w:rsidRDefault="00623662" w:rsidP="00623662">
      <w:pPr>
        <w:pStyle w:val="Default"/>
        <w:spacing w:line="360" w:lineRule="auto"/>
        <w:ind w:firstLine="567"/>
        <w:rPr>
          <w:color w:val="auto"/>
        </w:rPr>
      </w:pPr>
      <w:r w:rsidRPr="00623662">
        <w:rPr>
          <w:color w:val="auto"/>
        </w:rPr>
        <w:lastRenderedPageBreak/>
        <w:t xml:space="preserve">3.7. 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брокера,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 должны быть переданы клиентом по ранее совершенным, но еще не исполненным сделкам. </w:t>
      </w:r>
    </w:p>
    <w:p w:rsidR="00E43388" w:rsidRDefault="00E43388" w:rsidP="00623662">
      <w:pPr>
        <w:pStyle w:val="Default"/>
        <w:spacing w:line="360" w:lineRule="auto"/>
        <w:ind w:firstLine="567"/>
        <w:rPr>
          <w:color w:val="auto"/>
        </w:rPr>
      </w:pPr>
    </w:p>
    <w:p w:rsidR="00E43388" w:rsidRPr="001E289E" w:rsidRDefault="00E43388" w:rsidP="00E43388">
      <w:pPr>
        <w:shd w:val="clear" w:color="auto" w:fill="EEECE1" w:themeFill="background2"/>
        <w:spacing w:after="0" w:line="360" w:lineRule="auto"/>
        <w:ind w:firstLine="567"/>
        <w:rPr>
          <w:rFonts w:ascii="Times New Roman" w:hAnsi="Times New Roman" w:cs="Times New Roman"/>
          <w:b/>
          <w:sz w:val="24"/>
          <w:szCs w:val="24"/>
        </w:rPr>
      </w:pPr>
      <w:r w:rsidRPr="001E289E">
        <w:rPr>
          <w:rFonts w:ascii="Times New Roman" w:hAnsi="Times New Roman" w:cs="Times New Roman"/>
          <w:b/>
          <w:sz w:val="24"/>
          <w:szCs w:val="24"/>
        </w:rPr>
        <w:t>4. Особенности исполнения поручений клиентов, не являющихся квалифицированными инвесторами, на совершение гражданско-правовых сделок с ценными бумагами и (или) на заключение договоров, являющихся производными финансовыми инструментами</w:t>
      </w:r>
    </w:p>
    <w:p w:rsidR="00E43388" w:rsidRPr="001E289E"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1E289E">
        <w:rPr>
          <w:rFonts w:ascii="Times New Roman" w:hAnsi="Times New Roman" w:cs="Times New Roman"/>
          <w:sz w:val="24"/>
          <w:szCs w:val="24"/>
        </w:rPr>
        <w:t xml:space="preserve">4.1. Если иное не предусмотрено пунктами 4.5 - 4.6 Базового стандарта, клиентам, не являющимся квалифицированными инвесторами, до принятия от них поручений на совершение гражданско-правовых сделок с ценными бумагами и (или) на заключение договоров, являющихся производными финансовыми инструментами, предоставляется следующая информация: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1E289E">
        <w:rPr>
          <w:rFonts w:ascii="Times New Roman" w:hAnsi="Times New Roman" w:cs="Times New Roman"/>
          <w:sz w:val="24"/>
          <w:szCs w:val="24"/>
        </w:rPr>
        <w:t xml:space="preserve">1) в отношении ценных бумаг допущенных к обращению на организованных торгах, в том числе на иностранных биржах, и договоров, являющихся производными финансовыми инструментами, заключение которых происходит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w:t>
      </w:r>
      <w:r w:rsidRPr="00250A56">
        <w:rPr>
          <w:rFonts w:ascii="Times New Roman" w:hAnsi="Times New Roman" w:cs="Times New Roman"/>
          <w:sz w:val="24"/>
          <w:szCs w:val="24"/>
        </w:rPr>
        <w:t xml:space="preserve">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Вместо информации, указанной в абзаце первом настоящего подпункта брокер, действуя разумно и добросовестно, вправе предоставить информацию, предусмотренную подпунктами 2 или 3 настоящего пункта, при этом по запросу клиента ему дополнительно должна быть предоставлена информация, указанная в абзаце первом настоящего подпункта;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2) в отношении ценных бумаг, не допущенных к обращению на организованных торгах, – наибольшая цена покупки и наименьшая цена продажи ценной бумаги (в том </w:t>
      </w:r>
      <w:r w:rsidRPr="00250A56">
        <w:rPr>
          <w:rFonts w:ascii="Times New Roman" w:hAnsi="Times New Roman" w:cs="Times New Roman"/>
          <w:sz w:val="24"/>
          <w:szCs w:val="24"/>
        </w:rPr>
        <w:lastRenderedPageBreak/>
        <w:t>числе, в виде индикативных котировок), доступные брокеру ,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брокеру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 в случае, если до предоставления информации, указанной в подпунктах 1 и 2 настоящего пункта, известен тип сделки (покупка или продажа), брокер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5) в случае, если до предоставления информации, указанной в подпунктах 1- 4 настоящего пункта, известен объем сделки (сумма денежных средств или количество финансовых инструментов), брокер вправе предоставлять информацию о ценах, указанную в подпунктах 1 - 4 настоящего пункта, соответствующую известному ему объему сделки;</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6) в случае намерения клиента заключить договор репо вместо информации, указанной в подпунктах 1 и 2 настоящего пункта, клиенту может быть предоставлена информация о наибольшей цене спроса и наименьшей цене  предложения ставок репо, выраженная в процентах или процентах годовых, или о ценах первой и второй частей репо, либо о разнице цен между первой и второй частями репо, с учетом положений подпунктов 4 и 5 настоящего пункта.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4.2. При наличии нескольких источников информации, указанной в пункте 4.1 Базового стандарта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с разными контрагентами не на организованных торгах), выбор источника для предоставления соответствующей информации клиенту осуществляется брокером самостоятельно, если иное не предусмотрено договором с клиентом.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При выборе источников информации брокер должен действовать разумно и добросовестно.</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lastRenderedPageBreak/>
        <w:t>При предоставлении клиенту информации, указанной в пункте 4.1 Базового стандарта, по запросу клиента ему должны быть дополнительно предоставлены сведения об источнике соответствующей информации.</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4.3. Информация, указанная в пункте 4.1 Базового стандарта, предоставляется одним из следующих способов: в устной форме, в письменной форме, в том числе путем направления электронного сообщения, или путем размещения указанной информации на сайте брокера в сети «Интернет» (в том числе в личном кабинете клиента на указанном сайте), посредством программно-технических средств (в том числе мобильного приложения), либо иным способом, предусмотренным договором с клиентом.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Способ (способы) предоставления брокером информации, указанной в пункте 4.1 Базового стандарта, должен (должны) быть установлен (установлены) договором о брокерском обслуживании.</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4.4. Вместо предоставления клиенту информации, указанной в пункте 4.1 Базового стандарта, брокер вправе предоставить клиенту доступ к получению указанной информации при условии, что такой доступ позволяет клиенту получить информацию.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Доступ к информации, указанной в пункте 4.1 Базового стандарта, предоставляется клиенту путем предоставления возможности использования программно-технических средств (в том числе, для мобильных устройств), либо иным способом, предусмотренным договором с клиентом.</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Доступ к информации, указанной в пункте 4.1 Базового стандарта, считается предоставленным с момента предоставления клиенту возможности получения указанного доступа, независимо от того, воспользовался клиент такой возможностью или нет.</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4.5. Информация, указанная в пункте 4.1 Базового стандарта, может повторно не предоставляться клиенту брокером, являющимся инвестиционным советником, если указанная информация была ранее ему предоставлена указанным брокером при предоставлении клиенту индивидуальной инвестиционной рекомендации.</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4.6. Информация, указанная в пункте 4.1 Базового стандарта, и (или) доступ к указанной информации не предоставляется клиенту в следующих случаях, когда предоставление указанной информации или доступа к указанной информации до приема поручения клиента на совершение сделки невозможно из-за обстоятельств, за которые брокер не отвечает:</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1) при совершении сделок с ценными бумагами в процессе их размещения или в связи с их размещением;</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2) при совершении сделок с инвестиционными паями в процессе их выдачи, погашения или обмена при посредничестве брокера;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lastRenderedPageBreak/>
        <w:t>3) при приеме условных и (или) длящихся поручений;</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4) при приеме поручений, сформированных автоматизированным способом путем преобразования предоставленных клиенту индивидуальных инвестиционных рекомендаций без непосредственного участия клиента;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5)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по электронной почте или по факсу, если подаче соответствующего поручения не предшествовало общение (переписка) клиента с работником и (или) представителем брокера, в ходе которого (которой) клиент явно выразил намерение подать соответствующее поручение;</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6) в случае неисправности оборудования, сбоя в работе программно-технических средств , возникновения проблем с каналами связи, энергоснабжением, иными причинами технического характера, в результате которых брокер временно утратил доступ к источникам соответствующей информации (далее – проблема технического характера);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7) в случае отказа клиента от получения информации, указанной в пункте 4.1 Базового стандарта, при одновременном соблюдении следующих условий: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а) отказ был заявлен клиентом после как минимум одного случая предоставления брокером информации, указанной в пункте 4.1 Базового стандарта,</w:t>
      </w:r>
      <w:r w:rsidR="0023547A" w:rsidRPr="0023547A">
        <w:t xml:space="preserve"> </w:t>
      </w:r>
      <w:r w:rsidR="0023547A" w:rsidRPr="0023547A">
        <w:rPr>
          <w:rFonts w:ascii="Times New Roman" w:hAnsi="Times New Roman" w:cs="Times New Roman"/>
          <w:sz w:val="24"/>
          <w:szCs w:val="24"/>
        </w:rPr>
        <w:t>или до предоставления брокером такой информации, если отказ заявлен в письменной форме без использования типовых форм брокера, в том числе путем направления брокеру электронного сообщения,</w:t>
      </w:r>
      <w:r w:rsidRPr="00250A56">
        <w:rPr>
          <w:rFonts w:ascii="Times New Roman" w:hAnsi="Times New Roman" w:cs="Times New Roman"/>
          <w:sz w:val="24"/>
          <w:szCs w:val="24"/>
        </w:rPr>
        <w:t xml:space="preserve">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б) клиент был уведомлен о своем праве в любой момент отозвать отказ от получения информации, указанной в пункте 4.1 Базового стандарта,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в) отказ от получения информации был заявлен клиентом без побуждения к этому со стороны брокера;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8) в иных случаях, когда предоставление указанной информации или доступа к указанной информации невозможно из-за обстоятельств, за которые брокер не отвечает.</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4.7. В течение часа с момента выявления брокером проблемы технического характера, указанной в подпункте 6 пункта 4.6 Базового стандарта, в результате которой информация, указанная в пункте 4.1 Базового стандарта, и (или) доступ к указанной информации не предоставлялся клиенту, ему должна быть направлена (сообщена) способом, установленным договором с клиентом, информация о наличии проблемы технического характера, если иное не предусмотрено абзацем вторым настоящего пункта.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В случае, если в результате проблемы технического характера информация, указанная в пункте 4.1 Базового стандарта, и (или) доступ к указанной информации не предоставлялся нескольким клиентам, брокер вправе вместо направления (сообщения) </w:t>
      </w:r>
      <w:r w:rsidRPr="00250A56">
        <w:rPr>
          <w:rFonts w:ascii="Times New Roman" w:hAnsi="Times New Roman" w:cs="Times New Roman"/>
          <w:sz w:val="24"/>
          <w:szCs w:val="24"/>
        </w:rPr>
        <w:lastRenderedPageBreak/>
        <w:t>таким клиентам информации о наличии проблемы технического характера, раскрыть соответствующую информацию на своем официальном сайте в информационно-телекоммуникационной сети "Интернет".</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4.8. Информация о расходах, возмещаемых клиентом в связи с исполнением поручения, должна включать в себя сведения о видах расходов, о </w:t>
      </w:r>
      <w:r w:rsidR="004F4916">
        <w:rPr>
          <w:rFonts w:ascii="Times New Roman" w:hAnsi="Times New Roman" w:cs="Times New Roman"/>
          <w:sz w:val="24"/>
          <w:szCs w:val="24"/>
        </w:rPr>
        <w:t xml:space="preserve">сумме </w:t>
      </w:r>
      <w:r w:rsidRPr="00250A56">
        <w:rPr>
          <w:rFonts w:ascii="Times New Roman" w:hAnsi="Times New Roman" w:cs="Times New Roman"/>
          <w:sz w:val="24"/>
          <w:szCs w:val="24"/>
        </w:rPr>
        <w:t>расходов (в рублях или иностранной валюте, или в процентах от суммы сделки или процентах годовых)</w:t>
      </w:r>
      <w:r w:rsidR="004F4916">
        <w:rPr>
          <w:rFonts w:ascii="Times New Roman" w:hAnsi="Times New Roman" w:cs="Times New Roman"/>
          <w:sz w:val="24"/>
          <w:szCs w:val="24"/>
        </w:rPr>
        <w:t xml:space="preserve"> или </w:t>
      </w:r>
      <w:r w:rsidRPr="00250A56">
        <w:rPr>
          <w:rFonts w:ascii="Times New Roman" w:hAnsi="Times New Roman" w:cs="Times New Roman"/>
          <w:sz w:val="24"/>
          <w:szCs w:val="24"/>
        </w:rPr>
        <w:t xml:space="preserve">о порядке определения суммы расходов.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4.9. Информация о размере вознаграждения брокера, должна включать в себя сведения о сумме вознаграждения (в рублях или иностранной валюте, или процентах от суммы сделки, или процентах годовых), либо о порядке определения размера вознаграждения.</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4.10. Информация о расходах, возмещаемых клиентом в связи с исполнением поручения, и о размере вознаграждения брокера предоставляется клиенту в период с даты заключения договора о брокерском обслуживании и до принятия от него поручения на совершение сделки. </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4.11. Информация о расходах, возмещаемых клиентом в связи с исполнением поручения, и о размере вознаграждения брокера предоставляется клиенту одним из следующих способов: в письменной форме, в том числе путем направления электронного сообщения, или путем размещения ее на сайте брокера в сети «Интернет», в том числе в личном кабинете клиента на указанном сайте, посредством программно-технических средств, в том числе мобильного приложения, либо иным способом, установленным договором с клиентом.</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4.12. Брокер должен иметь возможность подтвердить факт предоставления клиенту информации или доступа к информации, указанной в пункте 4.1 Базового стандарта, информации или доступа к информации о расходах, возмещаемых клиентом в связи с исполнением поручения, и о вознаграждении брокера, информации, указанной в пункте 4.2 Базового стандарта, предоставления (сообщения) или раскрытия информации, указанной в пункте 4.7 Базового стандарта.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В случае устного предоставления клиенту информации, указанной в абзаце первом настоящего пункта, с использованием средств аудиосвязи, в том числе телефонной связи, брокер должен вести запись соответствующего разговора.</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В случае устного предоставления клиенту информации, указанной в абзаце первом настоящего пункта, без использования средств аудиосвязи, в том числе телефонной связи, подтверждением факта предоставления соответствующей информации может являться в </w:t>
      </w:r>
      <w:r w:rsidRPr="00250A56">
        <w:rPr>
          <w:rFonts w:ascii="Times New Roman" w:hAnsi="Times New Roman" w:cs="Times New Roman"/>
          <w:sz w:val="24"/>
          <w:szCs w:val="24"/>
        </w:rPr>
        <w:lastRenderedPageBreak/>
        <w:t>том числе полученное от клиента подтверждение получения соответствующей информации (в том числе, в электронной форме).</w:t>
      </w:r>
    </w:p>
    <w:p w:rsidR="00E43388" w:rsidRPr="00250A56"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 xml:space="preserve">Документы на бумажном носителе, электронные документы, подтверждающие предоставление клиенту информации или доступа к информации, указанной в абзаце первом настоящего пункта, подлежат хранению не менее 5 лет с даты предоставления клиенту соответствующей информации. </w:t>
      </w:r>
    </w:p>
    <w:p w:rsidR="00E43388" w:rsidRDefault="00E43388" w:rsidP="00E43388">
      <w:pPr>
        <w:shd w:val="clear" w:color="auto" w:fill="EEECE1" w:themeFill="background2"/>
        <w:spacing w:after="0" w:line="360" w:lineRule="auto"/>
        <w:ind w:firstLine="567"/>
        <w:rPr>
          <w:rFonts w:ascii="Times New Roman" w:hAnsi="Times New Roman" w:cs="Times New Roman"/>
          <w:sz w:val="24"/>
          <w:szCs w:val="24"/>
        </w:rPr>
      </w:pPr>
      <w:r w:rsidRPr="00250A56">
        <w:rPr>
          <w:rFonts w:ascii="Times New Roman" w:hAnsi="Times New Roman" w:cs="Times New Roman"/>
          <w:sz w:val="24"/>
          <w:szCs w:val="24"/>
        </w:rPr>
        <w:t>Аудиозаписи, подтверждающие предоставление клиенту информации, указанной в абзаце первом настоящего пункта, подлежат хранению не менее 3 лет с даты произведения записи.</w:t>
      </w:r>
    </w:p>
    <w:p w:rsidR="00E43388" w:rsidRDefault="00E43388" w:rsidP="00623662">
      <w:pPr>
        <w:pStyle w:val="Default"/>
        <w:spacing w:line="360" w:lineRule="auto"/>
        <w:ind w:firstLine="567"/>
        <w:rPr>
          <w:color w:val="auto"/>
        </w:rPr>
      </w:pPr>
    </w:p>
    <w:p w:rsidR="00942998" w:rsidRPr="001E289E" w:rsidRDefault="00942998" w:rsidP="00942998">
      <w:pPr>
        <w:pStyle w:val="Default"/>
        <w:spacing w:line="360" w:lineRule="auto"/>
        <w:ind w:firstLine="567"/>
        <w:rPr>
          <w:b/>
          <w:bCs/>
          <w:color w:val="auto"/>
        </w:rPr>
      </w:pPr>
      <w:r w:rsidRPr="001E289E">
        <w:rPr>
          <w:b/>
          <w:bCs/>
          <w:color w:val="auto"/>
        </w:rPr>
        <w:t xml:space="preserve">5. Заключительные и переходные положения </w:t>
      </w:r>
    </w:p>
    <w:p w:rsidR="00942998" w:rsidRPr="001E289E" w:rsidRDefault="00942998" w:rsidP="00942998">
      <w:pPr>
        <w:pStyle w:val="Default"/>
        <w:shd w:val="clear" w:color="auto" w:fill="EEECE1" w:themeFill="background2"/>
        <w:spacing w:line="360" w:lineRule="auto"/>
        <w:ind w:firstLine="567"/>
        <w:rPr>
          <w:color w:val="auto"/>
        </w:rPr>
      </w:pPr>
      <w:r w:rsidRPr="001E289E">
        <w:rPr>
          <w:color w:val="auto"/>
        </w:rPr>
        <w:t>5.1. Базовый стандарт применяется с 1 июня 2018 года,</w:t>
      </w:r>
      <w:r w:rsidRPr="001E289E">
        <w:t xml:space="preserve"> </w:t>
      </w:r>
      <w:r w:rsidRPr="001E289E">
        <w:rPr>
          <w:color w:val="auto"/>
        </w:rPr>
        <w:t xml:space="preserve">за исключением положений, для которых пунктами 5.3 и 5.4 Базового стандарта установлен иной срок вступления их в силу. </w:t>
      </w:r>
    </w:p>
    <w:p w:rsidR="00942998" w:rsidRPr="001E289E" w:rsidRDefault="00942998" w:rsidP="00942998">
      <w:pPr>
        <w:pStyle w:val="Default"/>
        <w:spacing w:line="360" w:lineRule="auto"/>
        <w:ind w:firstLine="567"/>
        <w:rPr>
          <w:color w:val="auto"/>
        </w:rPr>
      </w:pPr>
      <w:r w:rsidRPr="001E289E">
        <w:rPr>
          <w:color w:val="auto"/>
        </w:rPr>
        <w:t>5.2. Брокер обязан ознакомить клиентов, заключивших до 1 июня 2018 года договоры о брокерском обслуживании, предусматривающие право брокера использовать в своих интересах денежные средства и (или) ценные бумаги клиентов, с рисками, связанными с использованием брокером в своих интересах денежных средств и (или) ценных бумаг клиентов, в течение шести месяцев с даты начала применения Базового стандарта.</w:t>
      </w:r>
    </w:p>
    <w:p w:rsidR="00942998" w:rsidRPr="00942998" w:rsidRDefault="00942998" w:rsidP="00942998">
      <w:pPr>
        <w:pStyle w:val="Default"/>
        <w:shd w:val="clear" w:color="auto" w:fill="EEECE1" w:themeFill="background2"/>
        <w:spacing w:line="360" w:lineRule="auto"/>
        <w:ind w:firstLine="567"/>
      </w:pPr>
      <w:r w:rsidRPr="00942998">
        <w:t xml:space="preserve">5.3. Раздел 4 Базового стандарта применяется с </w:t>
      </w:r>
      <w:r w:rsidR="0023547A" w:rsidRPr="0023547A">
        <w:t>[</w:t>
      </w:r>
      <w:r w:rsidRPr="00942998">
        <w:t>1 января 2021 года</w:t>
      </w:r>
      <w:r w:rsidR="0023547A" w:rsidRPr="0023547A">
        <w:t>]</w:t>
      </w:r>
      <w:bookmarkStart w:id="0" w:name="_GoBack"/>
      <w:bookmarkEnd w:id="0"/>
      <w:r w:rsidRPr="00942998">
        <w:t>,</w:t>
      </w:r>
      <w:r w:rsidRPr="00942998">
        <w:rPr>
          <w:color w:val="auto"/>
        </w:rPr>
        <w:t xml:space="preserve"> за исключением положений, для которых пунктом 5.4 Базового стандарта установлен иной срок вступления их в силу</w:t>
      </w:r>
      <w:r w:rsidRPr="00942998">
        <w:t>.</w:t>
      </w:r>
    </w:p>
    <w:p w:rsidR="00942998" w:rsidRPr="00942998" w:rsidRDefault="00942998" w:rsidP="00942998">
      <w:pPr>
        <w:pStyle w:val="Default"/>
        <w:shd w:val="clear" w:color="auto" w:fill="EEECE1" w:themeFill="background2"/>
        <w:spacing w:line="360" w:lineRule="auto"/>
        <w:ind w:firstLine="567"/>
      </w:pPr>
      <w:r w:rsidRPr="00942998">
        <w:t>5.4. Абзац второй пункта 4.3 Базового стандарта применяется с 1 апреля 2021 года.</w:t>
      </w:r>
    </w:p>
    <w:p w:rsidR="00942998" w:rsidRDefault="00942998" w:rsidP="00942998">
      <w:pPr>
        <w:pStyle w:val="Default"/>
        <w:shd w:val="clear" w:color="auto" w:fill="EEECE1" w:themeFill="background2"/>
        <w:spacing w:line="360" w:lineRule="auto"/>
        <w:ind w:firstLine="567"/>
      </w:pPr>
      <w:r w:rsidRPr="00942998">
        <w:t>Пункты 4.7 и 4.12 Базового стандарта применяются с 1 октября 2021 года.</w:t>
      </w:r>
    </w:p>
    <w:p w:rsidR="00942998" w:rsidRDefault="00942998" w:rsidP="00623662">
      <w:pPr>
        <w:pStyle w:val="Default"/>
        <w:spacing w:line="360" w:lineRule="auto"/>
        <w:ind w:firstLine="567"/>
        <w:rPr>
          <w:color w:val="auto"/>
        </w:rPr>
      </w:pPr>
    </w:p>
    <w:sectPr w:rsidR="00942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DFFA"/>
    <w:multiLevelType w:val="hybridMultilevel"/>
    <w:tmpl w:val="E51EB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1B"/>
    <w:rsid w:val="0023547A"/>
    <w:rsid w:val="004F4916"/>
    <w:rsid w:val="005F1B11"/>
    <w:rsid w:val="00623662"/>
    <w:rsid w:val="007D0B1B"/>
    <w:rsid w:val="00942998"/>
    <w:rsid w:val="00E4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6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23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6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23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2020-11-17T07:41:00Z</dcterms:created>
  <dcterms:modified xsi:type="dcterms:W3CDTF">2020-12-10T07:07:00Z</dcterms:modified>
</cp:coreProperties>
</file>