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EB5" w:rsidRPr="006B5EB5" w:rsidRDefault="006B5EB5">
      <w:pPr>
        <w:pStyle w:val="ConsPlusTitlePage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br/>
      </w:r>
    </w:p>
    <w:p w:rsidR="006B5EB5" w:rsidRPr="006B5EB5" w:rsidRDefault="006B5EB5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Зарегистрировано в Минюсте России 21 декабря 2017 г. N 49364</w:t>
      </w:r>
    </w:p>
    <w:p w:rsidR="006B5EB5" w:rsidRPr="006B5EB5" w:rsidRDefault="006B5EB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ЦЕНТРАЛЬНЫЙ БАНК РОССИЙСКОЙ ФЕДЕРАЦИИ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УКАЗАНИЕ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от 21 августа 2017 г. N 4501-У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О ТРЕБОВАНИЯХ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К ОРГАНИЗАЦИИ ПРОФЕССИОНАЛЬНЫМ УЧАСТНИКОМ РЫНКА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ЦЕННЫХ БУМАГ СИСТЕМЫ УПРАВЛЕНИЯ РИСКАМИ, СВЯЗАННЫМИ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С ОСУЩЕСТВЛЕНИЕМ ПРОФЕССИОНАЛЬНОЙ ДЕЯТЕЛЬНОСТИ НА РЫНКЕ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ЦЕННЫХ БУМАГ И С ОСУЩЕСТВЛЕНИЕМ ОПЕРАЦИЙ С СОБСТВЕННЫМ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ИМУЩЕСТВОМ, В ЗАВИСИМОСТИ ОТ ВИДА ДЕЯТЕЛЬНОСТИ</w:t>
      </w:r>
    </w:p>
    <w:p w:rsidR="006B5EB5" w:rsidRPr="006B5EB5" w:rsidRDefault="006B5EB5">
      <w:pPr>
        <w:pStyle w:val="ConsPlusTitle"/>
        <w:jc w:val="center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И ХАРАКТЕРА СОВЕРШАЕМЫХ ОПЕРАЦИЙ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Настоящее Указание на основании </w:t>
      </w:r>
      <w:hyperlink r:id="rId4" w:history="1">
        <w:r w:rsidRPr="006B5EB5">
          <w:rPr>
            <w:rFonts w:ascii="Times New Roman" w:hAnsi="Times New Roman" w:cs="Times New Roman"/>
            <w:color w:val="0000FF"/>
          </w:rPr>
          <w:t>пункта 5 статьи 10.1-1</w:t>
        </w:r>
      </w:hyperlink>
      <w:r w:rsidRPr="006B5EB5">
        <w:rPr>
          <w:rFonts w:ascii="Times New Roman" w:hAnsi="Times New Roman" w:cs="Times New Roman"/>
        </w:rPr>
        <w:t xml:space="preserve">, </w:t>
      </w:r>
      <w:hyperlink r:id="rId5" w:history="1">
        <w:r w:rsidRPr="006B5EB5">
          <w:rPr>
            <w:rFonts w:ascii="Times New Roman" w:hAnsi="Times New Roman" w:cs="Times New Roman"/>
            <w:color w:val="0000FF"/>
          </w:rPr>
          <w:t>пунктов 3</w:t>
        </w:r>
      </w:hyperlink>
      <w:r w:rsidRPr="006B5EB5">
        <w:rPr>
          <w:rFonts w:ascii="Times New Roman" w:hAnsi="Times New Roman" w:cs="Times New Roman"/>
        </w:rPr>
        <w:t xml:space="preserve"> и </w:t>
      </w:r>
      <w:hyperlink r:id="rId6" w:history="1">
        <w:r w:rsidRPr="006B5EB5">
          <w:rPr>
            <w:rFonts w:ascii="Times New Roman" w:hAnsi="Times New Roman" w:cs="Times New Roman"/>
            <w:color w:val="0000FF"/>
          </w:rPr>
          <w:t>34 статьи 42</w:t>
        </w:r>
      </w:hyperlink>
      <w:r w:rsidRPr="006B5EB5">
        <w:rPr>
          <w:rFonts w:ascii="Times New Roman" w:hAnsi="Times New Roman" w:cs="Times New Roman"/>
        </w:rPr>
        <w:t xml:space="preserve"> Федерального закона от 22 апреля 1996 года N 39-ФЗ "О рынке ценных бумаг" (Собрание законодательства Российской Федерации, 1996, N 17, ст. 1918; 2001, N 33, ст. 3424; 2002, N 52, ст. 5141; 2004, N 27, ст. 2711;</w:t>
      </w:r>
      <w:proofErr w:type="gramEnd"/>
      <w:r w:rsidRPr="006B5EB5">
        <w:rPr>
          <w:rFonts w:ascii="Times New Roman" w:hAnsi="Times New Roman" w:cs="Times New Roman"/>
        </w:rPr>
        <w:t xml:space="preserve"> </w:t>
      </w:r>
      <w:proofErr w:type="gramStart"/>
      <w:r w:rsidRPr="006B5EB5">
        <w:rPr>
          <w:rFonts w:ascii="Times New Roman" w:hAnsi="Times New Roman" w:cs="Times New Roman"/>
        </w:rPr>
        <w:t>N 31, ст. 3225; 2005, N 11, ст. 900; N 25, ст. 2426; 2006, N 1, ст. 5; N 2, ст. 172; N 17, ст. 1780; N 31, ст. 3437; N 43, ст. 4412; 2007, N 1, ст. 45; N 18, ст. 2117; N 22, ст. 2563; N 41, ст. 4845;</w:t>
      </w:r>
      <w:proofErr w:type="gramEnd"/>
      <w:r w:rsidRPr="006B5EB5">
        <w:rPr>
          <w:rFonts w:ascii="Times New Roman" w:hAnsi="Times New Roman" w:cs="Times New Roman"/>
        </w:rPr>
        <w:t xml:space="preserve"> </w:t>
      </w:r>
      <w:proofErr w:type="gramStart"/>
      <w:r w:rsidRPr="006B5EB5">
        <w:rPr>
          <w:rFonts w:ascii="Times New Roman" w:hAnsi="Times New Roman" w:cs="Times New Roman"/>
        </w:rPr>
        <w:t>N 50, ст. 6247; 2008, N 52, ст. 6221; 2009, N 1, ст. 28; N 18, ст. 2154; N 23, ст. 2770; N 29, ст. 3642; N 48, ст. 5731; N 52, ст. 6428; 2010, N 17, ст. 1988; N 31, ст. 4193; N 41, ст. 5193; 2011, N 7, ст. 905;</w:t>
      </w:r>
      <w:proofErr w:type="gramEnd"/>
      <w:r w:rsidRPr="006B5EB5">
        <w:rPr>
          <w:rFonts w:ascii="Times New Roman" w:hAnsi="Times New Roman" w:cs="Times New Roman"/>
        </w:rPr>
        <w:t xml:space="preserve"> N 23, ст. 3262; N 29, ст. 4291; N 48, ст. 6728; N 49, ст. 7040; N 50, ст. 7357; 2012, N 25, ст. 3269; N 31, ст. 4334; N 53, ст. 7607; 2013, N 26, ст. 3207; N 30, ст. 4043, ст. 4082, ст. 4084; N 51, ст. 6699; N 52, ст. 6985; 2014, N 30, ст. 4219; 2015, N 1, ст. 13; N 14, ст. 2022; N 27, ст. 4001; N 29, ст. 4348, ст. 4357; 2016, N 1, ст. 50, ст. 81; N 27, ст. 4225; 2017, N 25, ст. 3592; N 27, ст. 3925; N 30; ст. 4444) (далее - Федеральный закон от 22 апреля 1996 года N 39-ФЗ "О рынке ценных бумаг") устанавливает требования к организации юридическим лицом, осуществляющим деятельность профессионального участника рынка ценных бумаг, в соответствии с главой 2 Федерального </w:t>
      </w:r>
      <w:proofErr w:type="gramStart"/>
      <w:r w:rsidRPr="006B5EB5">
        <w:rPr>
          <w:rFonts w:ascii="Times New Roman" w:hAnsi="Times New Roman" w:cs="Times New Roman"/>
        </w:rPr>
        <w:t>закона от 22 апреля 1996 года N 39-ФЗ "О рынке ценных бумаг" (далее - профессиональный участник) системы управления рисками, связанными с осуществлением профессиональной деятельности на рынке ценных бумаг и с осуществлением операций с собственным имуществом (далее при совместном упоминании - риски профессионального участника), в зависимости от вида деятельности и характера совершаемых операций (далее - система управления рисками).</w:t>
      </w:r>
      <w:proofErr w:type="gramEnd"/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Глава 1. Общие положения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1.1. Профессиональный участник в соответствии с требованиями настоящего Указания обязан организовать систему управления рисками, содержащую систему мониторинга рисков профессионального участника, обеспечивающую своевременное доведение необходимой информации до сведения органов управления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2"/>
      <w:bookmarkEnd w:id="0"/>
      <w:r w:rsidRPr="006B5EB5">
        <w:rPr>
          <w:rFonts w:ascii="Times New Roman" w:hAnsi="Times New Roman" w:cs="Times New Roman"/>
        </w:rPr>
        <w:t xml:space="preserve">1.2. </w:t>
      </w:r>
      <w:proofErr w:type="gramStart"/>
      <w:r w:rsidRPr="006B5EB5">
        <w:rPr>
          <w:rFonts w:ascii="Times New Roman" w:hAnsi="Times New Roman" w:cs="Times New Roman"/>
        </w:rPr>
        <w:t xml:space="preserve">Профессиональный участник в соответствии с </w:t>
      </w:r>
      <w:hyperlink r:id="rId7" w:history="1">
        <w:r w:rsidRPr="006B5EB5">
          <w:rPr>
            <w:rFonts w:ascii="Times New Roman" w:hAnsi="Times New Roman" w:cs="Times New Roman"/>
            <w:color w:val="0000FF"/>
          </w:rPr>
          <w:t>пунктом 3 статьи 42</w:t>
        </w:r>
      </w:hyperlink>
      <w:r w:rsidRPr="006B5EB5">
        <w:rPr>
          <w:rFonts w:ascii="Times New Roman" w:hAnsi="Times New Roman" w:cs="Times New Roman"/>
        </w:rPr>
        <w:t xml:space="preserve"> Федерального закона от 22 апреля 1996 года N 39-ФЗ "О рынке ценных бумаг" в рамках организации системы управления рисками должен разработать внутренний (внутренние) документ (документы) профессионального участника, устанавливающий (устанавливающие) порядок организации и осуществления управления рисками профессионального участника (далее - регламент управления рисками профессионального участника), соответствующий (соответствующие) требованиям, предусмотренным </w:t>
      </w:r>
      <w:hyperlink w:anchor="P78" w:history="1">
        <w:r w:rsidRPr="006B5EB5">
          <w:rPr>
            <w:rFonts w:ascii="Times New Roman" w:hAnsi="Times New Roman" w:cs="Times New Roman"/>
            <w:color w:val="0000FF"/>
          </w:rPr>
          <w:t>главой 3</w:t>
        </w:r>
      </w:hyperlink>
      <w:r w:rsidRPr="006B5EB5">
        <w:rPr>
          <w:rFonts w:ascii="Times New Roman" w:hAnsi="Times New Roman" w:cs="Times New Roman"/>
        </w:rPr>
        <w:t xml:space="preserve"> настоящего Указания.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Профессиональный участник должен обеспечить осуществление процессов и мероприятий, предусмотренных </w:t>
      </w:r>
      <w:hyperlink w:anchor="P40" w:history="1">
        <w:r w:rsidRPr="006B5EB5">
          <w:rPr>
            <w:rFonts w:ascii="Times New Roman" w:hAnsi="Times New Roman" w:cs="Times New Roman"/>
            <w:color w:val="0000FF"/>
          </w:rPr>
          <w:t>главой 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в отношении рисков профессионального участника, в том числе рисков профессионального участника, признаваемых им значимыми, реализация которых может привести к одному из следующих последствий: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lastRenderedPageBreak/>
        <w:t xml:space="preserve">снижение собственных средств профессионального участника ниже размера собственных средств, установленного для </w:t>
      </w:r>
      <w:proofErr w:type="spellStart"/>
      <w:r w:rsidRPr="006B5EB5">
        <w:rPr>
          <w:rFonts w:ascii="Times New Roman" w:hAnsi="Times New Roman" w:cs="Times New Roman"/>
        </w:rPr>
        <w:t>форекс-дилера</w:t>
      </w:r>
      <w:proofErr w:type="spellEnd"/>
      <w:r w:rsidRPr="006B5EB5">
        <w:rPr>
          <w:rFonts w:ascii="Times New Roman" w:hAnsi="Times New Roman" w:cs="Times New Roman"/>
        </w:rPr>
        <w:t xml:space="preserve"> </w:t>
      </w:r>
      <w:hyperlink r:id="rId8" w:history="1">
        <w:r w:rsidRPr="006B5EB5">
          <w:rPr>
            <w:rFonts w:ascii="Times New Roman" w:hAnsi="Times New Roman" w:cs="Times New Roman"/>
            <w:color w:val="0000FF"/>
          </w:rPr>
          <w:t>пунктом 5 статьи 4.1</w:t>
        </w:r>
      </w:hyperlink>
      <w:r w:rsidRPr="006B5EB5">
        <w:rPr>
          <w:rFonts w:ascii="Times New Roman" w:hAnsi="Times New Roman" w:cs="Times New Roman"/>
        </w:rPr>
        <w:t xml:space="preserve"> Федерального закона от 22 апреля 1996 года N 39-ФЗ "О рынке ценных бумаг" или рассчитанного для иных профессиональных участников в соответствии с </w:t>
      </w:r>
      <w:hyperlink r:id="rId9" w:history="1">
        <w:r w:rsidRPr="006B5EB5">
          <w:rPr>
            <w:rFonts w:ascii="Times New Roman" w:hAnsi="Times New Roman" w:cs="Times New Roman"/>
            <w:color w:val="0000FF"/>
          </w:rPr>
          <w:t>Указанием</w:t>
        </w:r>
      </w:hyperlink>
      <w:r w:rsidRPr="006B5EB5">
        <w:rPr>
          <w:rFonts w:ascii="Times New Roman" w:hAnsi="Times New Roman" w:cs="Times New Roman"/>
        </w:rPr>
        <w:t xml:space="preserve"> Банка России от 11 мая 2017 года N 4373-У "О требованиях к собственным средствам профессиональных участников рынка ценных бумаг", зарегистрированным Министерством</w:t>
      </w:r>
      <w:proofErr w:type="gramEnd"/>
      <w:r w:rsidRPr="006B5EB5">
        <w:rPr>
          <w:rFonts w:ascii="Times New Roman" w:hAnsi="Times New Roman" w:cs="Times New Roman"/>
        </w:rPr>
        <w:t xml:space="preserve"> юстиции Российской Федерации 5 июня 2017 года N 46943;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наступление оснований для применения мер по предупреждению банкротства профессионального участника;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наступление оснований для аннулирования лицензии профессионального участника, за исключением аннулирования лицензии на основании заявления профессионального участника рынка ценных бумаг в письменной форме в соответствии с </w:t>
      </w:r>
      <w:hyperlink r:id="rId10" w:history="1">
        <w:r w:rsidRPr="006B5EB5">
          <w:rPr>
            <w:rFonts w:ascii="Times New Roman" w:hAnsi="Times New Roman" w:cs="Times New Roman"/>
            <w:color w:val="0000FF"/>
          </w:rPr>
          <w:t>подпунктом 1 пункта 1 статьи 39.1</w:t>
        </w:r>
      </w:hyperlink>
      <w:r w:rsidRPr="006B5EB5">
        <w:rPr>
          <w:rFonts w:ascii="Times New Roman" w:hAnsi="Times New Roman" w:cs="Times New Roman"/>
        </w:rPr>
        <w:t xml:space="preserve"> Федерального закона от 22 апреля 1996 года N 39-ФЗ "О рынке ценных бумаг";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невозможность непрерывного осуществления дальнейшей деятельности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1.3. </w:t>
      </w:r>
      <w:proofErr w:type="gramStart"/>
      <w:r w:rsidRPr="006B5EB5">
        <w:rPr>
          <w:rFonts w:ascii="Times New Roman" w:hAnsi="Times New Roman" w:cs="Times New Roman"/>
        </w:rPr>
        <w:t xml:space="preserve">Профессиональный участник в рамках организации системы управления рисками должен назначить должностное лицо или сформировать отдельное структурное подразделение, ответственное за организацию системы управления рисками, за исключением риска возникновения у профессионального участника расходов (убытков) и (или) иных неблагоприятных последствий в результате его несоответствия или несоответствия его деятельности требованиям законодательства Российской Федерации о рынке ценных бумаг, базовых и внутренних стандартов </w:t>
      </w:r>
      <w:proofErr w:type="spellStart"/>
      <w:r w:rsidRPr="006B5EB5">
        <w:rPr>
          <w:rFonts w:ascii="Times New Roman" w:hAnsi="Times New Roman" w:cs="Times New Roman"/>
        </w:rPr>
        <w:t>саморегулируемой</w:t>
      </w:r>
      <w:proofErr w:type="spellEnd"/>
      <w:r w:rsidRPr="006B5EB5">
        <w:rPr>
          <w:rFonts w:ascii="Times New Roman" w:hAnsi="Times New Roman" w:cs="Times New Roman"/>
        </w:rPr>
        <w:t xml:space="preserve"> организации в</w:t>
      </w:r>
      <w:proofErr w:type="gramEnd"/>
      <w:r w:rsidRPr="006B5EB5">
        <w:rPr>
          <w:rFonts w:ascii="Times New Roman" w:hAnsi="Times New Roman" w:cs="Times New Roman"/>
        </w:rPr>
        <w:t xml:space="preserve"> сфере финансового рынка, членом которой является профессиональный участник, учредительных и внутренних документов профессионального участника, связанных с осуществлением профессиональной деятельности на рынке ценных бумаг, а также в результате применения мер воздействия со стороны надзорных органов (далее - регуляторный риск).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Организация выявления, анализа, оценки, мониторинга и контроля регуляторного риска, а также управления им должна осуществляться контролером (службой внутреннего контроля)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Должностное лицо (отдельное структурное подразделение), ответственное за организацию системы управления рисками, должно быть подотчетно органу (органам) управления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Должностное лицо (руководитель отдельного структурного подразделения), ответственное (ответственный) за организацию системы управления рисками, не должно (не должен) осуществлять функции, связанные с совершением операций и заключением сделок профессионального участника, за исключением случая, установленного абзацем пятым настоящего пункта.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Профессиональный участник, осуществляющий деятельность клиентского брокера в соответствии с </w:t>
      </w:r>
      <w:hyperlink r:id="rId11" w:history="1">
        <w:r w:rsidRPr="006B5EB5">
          <w:rPr>
            <w:rFonts w:ascii="Times New Roman" w:hAnsi="Times New Roman" w:cs="Times New Roman"/>
            <w:color w:val="0000FF"/>
          </w:rPr>
          <w:t>Указанием</w:t>
        </w:r>
      </w:hyperlink>
      <w:r w:rsidRPr="006B5EB5">
        <w:rPr>
          <w:rFonts w:ascii="Times New Roman" w:hAnsi="Times New Roman" w:cs="Times New Roman"/>
        </w:rPr>
        <w:t xml:space="preserve"> Банка России от 25 июля 2014 года N 3349-У "О единых требованиях к правилам осуществления брокерской деятельности при совершении операций с имуществом клиента брокера", зарегистрированным Министерством юстиции Российской Федерации 25 августа 2014 года N 33865 (далее - клиентский брокер), может по решению такого клиентского брокера возложить функции должностного лица (отдельного структурного</w:t>
      </w:r>
      <w:proofErr w:type="gramEnd"/>
      <w:r w:rsidRPr="006B5EB5">
        <w:rPr>
          <w:rFonts w:ascii="Times New Roman" w:hAnsi="Times New Roman" w:cs="Times New Roman"/>
        </w:rPr>
        <w:t xml:space="preserve"> подразделения), ответственного за организацию системы управления рисками, на единоличный исполнительный орган клиентского брокера в случае обеспечения клиентским брокером предотвращения, выявления конфликта интересов и управления им в порядке, предусмотренном регламентом управления рисками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1.4. </w:t>
      </w:r>
      <w:proofErr w:type="gramStart"/>
      <w:r w:rsidRPr="006B5EB5">
        <w:rPr>
          <w:rFonts w:ascii="Times New Roman" w:hAnsi="Times New Roman" w:cs="Times New Roman"/>
        </w:rPr>
        <w:t xml:space="preserve">В случае привлечения третьих лиц для обеспечения процессов и мероприятий, предусмотренных </w:t>
      </w:r>
      <w:hyperlink w:anchor="P40" w:history="1">
        <w:r w:rsidRPr="006B5EB5">
          <w:rPr>
            <w:rFonts w:ascii="Times New Roman" w:hAnsi="Times New Roman" w:cs="Times New Roman"/>
            <w:color w:val="0000FF"/>
          </w:rPr>
          <w:t>главой 2</w:t>
        </w:r>
      </w:hyperlink>
      <w:r w:rsidRPr="006B5EB5">
        <w:rPr>
          <w:rFonts w:ascii="Times New Roman" w:hAnsi="Times New Roman" w:cs="Times New Roman"/>
        </w:rPr>
        <w:t xml:space="preserve"> настоящего Указания (за исключением процессов по снижению рисков </w:t>
      </w:r>
      <w:r w:rsidRPr="006B5EB5">
        <w:rPr>
          <w:rFonts w:ascii="Times New Roman" w:hAnsi="Times New Roman" w:cs="Times New Roman"/>
        </w:rPr>
        <w:lastRenderedPageBreak/>
        <w:t>профессионального участника или их исключению, а также процесса обмена информацией о рисках профессионального участника), профессиональный участник должен обеспечить соблюдение требований настоящего Указания и законодательства Российской Федерации о рынке ценных бумаг.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1.5. </w:t>
      </w:r>
      <w:proofErr w:type="gramStart"/>
      <w:r w:rsidRPr="006B5EB5">
        <w:rPr>
          <w:rFonts w:ascii="Times New Roman" w:hAnsi="Times New Roman" w:cs="Times New Roman"/>
        </w:rPr>
        <w:t>В случае совмещения профессиональным участником своей деятельности с иными видами деятельности система управления рисками должна обеспечивать управление рисками профессионального участника, связанными с профессиональной деятельностью на рынке ценных бумаг, с учетом рисков неисполнения обязательств, возникающих в результате такого совмещения деятельности (при наличии), перед клиентами профессионального участника, которым оказываются услуги на рынке ценных бумаг (далее - клиенты профессионального участника).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1.6. Система управления рисками должна обеспечивать управление рисками профессионального участника, а также рисками клиентов профессионального участника, возникающими при оказании услуг на рынке ценных бумаг. При управлении рисками своих клиентов профессиональный участник должен осуществлять мероприятия по их снижению.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В случае если в соответствии с </w:t>
      </w:r>
      <w:hyperlink r:id="rId12" w:history="1">
        <w:r w:rsidRPr="006B5EB5">
          <w:rPr>
            <w:rFonts w:ascii="Times New Roman" w:hAnsi="Times New Roman" w:cs="Times New Roman"/>
            <w:color w:val="0000FF"/>
          </w:rPr>
          <w:t>Положением</w:t>
        </w:r>
      </w:hyperlink>
      <w:r w:rsidRPr="006B5EB5">
        <w:rPr>
          <w:rFonts w:ascii="Times New Roman" w:hAnsi="Times New Roman" w:cs="Times New Roman"/>
        </w:rPr>
        <w:t xml:space="preserve"> Банка России от 3 августа 2015 года N 482-П "О единых требованиях к правилам осуществления деятельности по управлению ценными бумагами, к порядку раскрытия управляющим информации, а также требованиях, направленных на исключение конфликта интересов управляющего", зарегистрированным Министерством юстиции Российской Федерации 4 декабря 2015 года N 39968, управление ценными бумагами и денежными средствами клиента профессионального</w:t>
      </w:r>
      <w:proofErr w:type="gramEnd"/>
      <w:r w:rsidRPr="006B5EB5">
        <w:rPr>
          <w:rFonts w:ascii="Times New Roman" w:hAnsi="Times New Roman" w:cs="Times New Roman"/>
        </w:rPr>
        <w:t xml:space="preserve"> участника должно осуществляться в соответствии с инвестиционным профилем такого клиента, система управления рисками профессионального участника должна обеспечивать управление рисками несоответствия управления ценными бумагами и денежными средствами клиента профессионального участника инвестиционному профилю такого клиента.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1.7. </w:t>
      </w:r>
      <w:proofErr w:type="gramStart"/>
      <w:r w:rsidRPr="006B5EB5">
        <w:rPr>
          <w:rFonts w:ascii="Times New Roman" w:hAnsi="Times New Roman" w:cs="Times New Roman"/>
        </w:rPr>
        <w:t xml:space="preserve">Настоящее Указание не распространяется на профессиональных участников, совмещающих свою деятельность с клиринговой деятельностью, деятельностью по организации торговли, и профессиональных участников, являющихся кредитными организациями, требования к системам управления рисками которых установлены в </w:t>
      </w:r>
      <w:hyperlink r:id="rId13" w:history="1">
        <w:r w:rsidRPr="006B5EB5">
          <w:rPr>
            <w:rFonts w:ascii="Times New Roman" w:hAnsi="Times New Roman" w:cs="Times New Roman"/>
            <w:color w:val="0000FF"/>
          </w:rPr>
          <w:t>Положении</w:t>
        </w:r>
      </w:hyperlink>
      <w:r w:rsidRPr="006B5EB5">
        <w:rPr>
          <w:rFonts w:ascii="Times New Roman" w:hAnsi="Times New Roman" w:cs="Times New Roman"/>
        </w:rPr>
        <w:t xml:space="preserve"> Банка России от 12 марта 2015 года N 463-П "О требованиях, направленных на снижение рисков осуществления клиринговой деятельности, и требованиях к документу (документам), определяющему (определяющим) меры, направленные на</w:t>
      </w:r>
      <w:proofErr w:type="gramEnd"/>
      <w:r w:rsidRPr="006B5EB5">
        <w:rPr>
          <w:rFonts w:ascii="Times New Roman" w:hAnsi="Times New Roman" w:cs="Times New Roman"/>
        </w:rPr>
        <w:t xml:space="preserve"> </w:t>
      </w:r>
      <w:proofErr w:type="gramStart"/>
      <w:r w:rsidRPr="006B5EB5">
        <w:rPr>
          <w:rFonts w:ascii="Times New Roman" w:hAnsi="Times New Roman" w:cs="Times New Roman"/>
        </w:rPr>
        <w:t xml:space="preserve">снижение кредитных, операционных и иных рисков, в том числе рисков, связанных с совмещением клиринговой деятельности с иными видами деятельности", зарегистрированном Министерством юстиции Российской Федерации 30 апреля 2015 года N 37079, </w:t>
      </w:r>
      <w:hyperlink r:id="rId14" w:history="1">
        <w:r w:rsidRPr="006B5EB5">
          <w:rPr>
            <w:rFonts w:ascii="Times New Roman" w:hAnsi="Times New Roman" w:cs="Times New Roman"/>
            <w:color w:val="0000FF"/>
          </w:rPr>
          <w:t>приказе</w:t>
        </w:r>
      </w:hyperlink>
      <w:r w:rsidRPr="006B5EB5">
        <w:rPr>
          <w:rFonts w:ascii="Times New Roman" w:hAnsi="Times New Roman" w:cs="Times New Roman"/>
        </w:rPr>
        <w:t xml:space="preserve"> Федеральной службы по финансовым рынкам от 25 июня 2013 года N 13-53/</w:t>
      </w:r>
      <w:proofErr w:type="spellStart"/>
      <w:r w:rsidRPr="006B5EB5">
        <w:rPr>
          <w:rFonts w:ascii="Times New Roman" w:hAnsi="Times New Roman" w:cs="Times New Roman"/>
        </w:rPr>
        <w:t>пз-н</w:t>
      </w:r>
      <w:proofErr w:type="spellEnd"/>
      <w:r w:rsidRPr="006B5EB5">
        <w:rPr>
          <w:rFonts w:ascii="Times New Roman" w:hAnsi="Times New Roman" w:cs="Times New Roman"/>
        </w:rPr>
        <w:t xml:space="preserve"> "Об утверждении требований к деятельности организатора торговли в части организации системы управления рисками и порядка осуществления</w:t>
      </w:r>
      <w:proofErr w:type="gramEnd"/>
      <w:r w:rsidRPr="006B5EB5">
        <w:rPr>
          <w:rFonts w:ascii="Times New Roman" w:hAnsi="Times New Roman" w:cs="Times New Roman"/>
        </w:rPr>
        <w:t xml:space="preserve"> </w:t>
      </w:r>
      <w:proofErr w:type="gramStart"/>
      <w:r w:rsidRPr="006B5EB5">
        <w:rPr>
          <w:rFonts w:ascii="Times New Roman" w:hAnsi="Times New Roman" w:cs="Times New Roman"/>
        </w:rPr>
        <w:t xml:space="preserve">внутреннего контроля, а также к отдельным внутренним документам организатора торговли", зарегистрированном Министерством юстиции Российской Федерации 22 августа 2013 года N 29760, и </w:t>
      </w:r>
      <w:hyperlink r:id="rId15" w:history="1">
        <w:r w:rsidRPr="006B5EB5">
          <w:rPr>
            <w:rFonts w:ascii="Times New Roman" w:hAnsi="Times New Roman" w:cs="Times New Roman"/>
            <w:color w:val="0000FF"/>
          </w:rPr>
          <w:t>Указании</w:t>
        </w:r>
      </w:hyperlink>
      <w:r w:rsidRPr="006B5EB5">
        <w:rPr>
          <w:rFonts w:ascii="Times New Roman" w:hAnsi="Times New Roman" w:cs="Times New Roman"/>
        </w:rPr>
        <w:t xml:space="preserve"> Банка России от 15 апреля 2015 года N 3624-У "О требованиях к системе управления рисками и капиталом кредитной организации и банковской группы", зарегистрированном Министерством юстиции Российской Федерации 26 мая 2015 года N 37388, 28 декабря 2015 года</w:t>
      </w:r>
      <w:proofErr w:type="gramEnd"/>
      <w:r w:rsidRPr="006B5EB5">
        <w:rPr>
          <w:rFonts w:ascii="Times New Roman" w:hAnsi="Times New Roman" w:cs="Times New Roman"/>
        </w:rPr>
        <w:t xml:space="preserve"> N 40325, соответственно.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1.8. Профессиональный участник должен обеспечить хранение документов, соответствующих требованиям настоящего Указания, не менее пяти лет с даты их создания.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1" w:name="P40"/>
      <w:bookmarkEnd w:id="1"/>
      <w:r w:rsidRPr="006B5EB5">
        <w:rPr>
          <w:rFonts w:ascii="Times New Roman" w:hAnsi="Times New Roman" w:cs="Times New Roman"/>
        </w:rPr>
        <w:t>Глава 2. Требования к процессам и мероприятиям, осуществляемым профессиональным участником в рамках организации системы управления рисками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2.1. Профессиональный участник в рамках организации системы управления рисками должен обеспечить на постоянной основе осуществление следующих процессов: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выявление рисков профессионального участника;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lastRenderedPageBreak/>
        <w:t>анализ и оценка рисков профессионального участника;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мониторинг и контроль рисков профессионального участника, снижение рисков профессионального участника или их исключение;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обмен информацией о рисках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2.2. Профессиональный участник в рамках выявления рисков профессионального участника должен обеспечить выполнение следующих мероприятий.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2.2.1. Определение рисков профессионального участника, в том числе следующих видов рисков профессионального участника: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возникновения расходов (убытков) профессионального участника вследствие неисполнения, несвоевременного либо неполного исполнения должником финансовых обязательств перед профессиональным участником в соответствии с условиями договора (кредитный риск);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50"/>
      <w:bookmarkEnd w:id="2"/>
      <w:r w:rsidRPr="006B5EB5">
        <w:rPr>
          <w:rFonts w:ascii="Times New Roman" w:hAnsi="Times New Roman" w:cs="Times New Roman"/>
        </w:rPr>
        <w:t xml:space="preserve">риск возникновения последствий, </w:t>
      </w:r>
      <w:proofErr w:type="gramStart"/>
      <w:r w:rsidRPr="006B5EB5">
        <w:rPr>
          <w:rFonts w:ascii="Times New Roman" w:hAnsi="Times New Roman" w:cs="Times New Roman"/>
        </w:rPr>
        <w:t>влекущих</w:t>
      </w:r>
      <w:proofErr w:type="gramEnd"/>
      <w:r w:rsidRPr="006B5EB5">
        <w:rPr>
          <w:rFonts w:ascii="Times New Roman" w:hAnsi="Times New Roman" w:cs="Times New Roman"/>
        </w:rPr>
        <w:t xml:space="preserve"> в том числе приостановление или прекращение оказания услуг, а также возникновения расходов (убытков) профессионального участника, обусловленных сбоями в работе программно-технических средств, несоответствием их функциональных возможностей виду деятельности, характеру и масштабу совершаемых операций профессионального участника, нарушениями процедур проведения внутренних операций или неэффективностью указанных процедур, некорректными действиями или бездействием работников профессионального участника и (или) воздействием внешних событий (операционный риск);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возникновения расходов (убытков) профессионального участника вследствие неблагоприятного изменения рыночной стоимости финансовых инструментов или иных активов, в которые инвестированы средства такого профессионального участника или средства, предоставленные ему в качестве обеспечения исполнения обязательств (рыночный риск);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возникновения расходов (убытков) профессионального участника вследствие неоднозначности толкования норм права (правовой риск);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возникновения расходов (убытков) профессионального участника вследствие недостаточности имущества в распоряжении профессионального участника для удовлетворения требований его кредиторов по передаче этого имущества в установленный срок (риск ликвидности);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утраты имущества профессионального участника или имущества его клиентов вследствие действий или бездействия лица, ответственного за хранение этого имущества и учет прав на это имущество (</w:t>
      </w:r>
      <w:proofErr w:type="spellStart"/>
      <w:r w:rsidRPr="006B5EB5">
        <w:rPr>
          <w:rFonts w:ascii="Times New Roman" w:hAnsi="Times New Roman" w:cs="Times New Roman"/>
        </w:rPr>
        <w:t>кастодиальный</w:t>
      </w:r>
      <w:proofErr w:type="spellEnd"/>
      <w:r w:rsidRPr="006B5EB5">
        <w:rPr>
          <w:rFonts w:ascii="Times New Roman" w:hAnsi="Times New Roman" w:cs="Times New Roman"/>
        </w:rPr>
        <w:t xml:space="preserve"> риск);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риск возникновения расходов (убытков), в том числе при уменьшении доходов или превышении расходов над доходами, в результате неэффективного управления организацией, возникновения непредвиденных расходов, потерь материнской компании или реализации иных рисков, кроме рисков, указанных в абзацах втором, шестом и седьмом настоящего подпункта (коммерческий риск).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2.2.2. Внесение выявленных рисков профессионального участника и результатов их оценки во внутренний документ профессионального участника (далее - реестр рисков профессионального участника), если иное не предусмотрено настоящим пунктом. Реестр рисков профессионального участника должен пересматриваться с учетом результатов выявления рисков профессионального участника в целях актуализации данных, содержащихся в нем.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57"/>
      <w:bookmarkEnd w:id="3"/>
      <w:r w:rsidRPr="006B5EB5">
        <w:rPr>
          <w:rFonts w:ascii="Times New Roman" w:hAnsi="Times New Roman" w:cs="Times New Roman"/>
        </w:rPr>
        <w:t xml:space="preserve">В случае если по результатам выявления рисков профессионального участника риски не признаны профессиональным участником значимыми, мероприятие, указанное в абзаце первом настоящего подпункта, осуществляется по решению должностного лица (руководителя отдельного </w:t>
      </w:r>
      <w:r w:rsidRPr="006B5EB5">
        <w:rPr>
          <w:rFonts w:ascii="Times New Roman" w:hAnsi="Times New Roman" w:cs="Times New Roman"/>
        </w:rPr>
        <w:lastRenderedPageBreak/>
        <w:t>структурного подразделения), ответственного за организацию системы управления рисками.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2.2.3. Проведение анкетирования структурных подразделений профессионального участника с целью выявления риска, указанного в </w:t>
      </w:r>
      <w:hyperlink w:anchor="P50" w:history="1">
        <w:r w:rsidRPr="006B5EB5">
          <w:rPr>
            <w:rFonts w:ascii="Times New Roman" w:hAnsi="Times New Roman" w:cs="Times New Roman"/>
            <w:color w:val="0000FF"/>
          </w:rPr>
          <w:t>абзаце третьем подпункта 2.2.1</w:t>
        </w:r>
      </w:hyperlink>
      <w:r w:rsidRPr="006B5EB5">
        <w:rPr>
          <w:rFonts w:ascii="Times New Roman" w:hAnsi="Times New Roman" w:cs="Times New Roman"/>
        </w:rPr>
        <w:t xml:space="preserve"> настоящего пункта (далее - самооценка), и документальное оформление результатов самооценки.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2.3. Профессиональный участник в рамках анализа и оценки рисков профессионального участника должен обеспечить выполнение следующих мероприятий.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2.3.1. Определение источников и видов выявленных рисков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2.3.2. Оценка влияния рисков профессионального участника на его финансовую устойчивость посредством оценки риска, в результате наступления которого или вероятности реализации и степени влияния которого у профессионального участника возникнут расходы (убытки), а также последствия, предусмотренные </w:t>
      </w:r>
      <w:hyperlink w:anchor="P22" w:history="1">
        <w:r w:rsidRPr="006B5EB5">
          <w:rPr>
            <w:rFonts w:ascii="Times New Roman" w:hAnsi="Times New Roman" w:cs="Times New Roman"/>
            <w:color w:val="0000FF"/>
          </w:rPr>
          <w:t>пунктом 1.2</w:t>
        </w:r>
      </w:hyperlink>
      <w:r w:rsidRPr="006B5EB5">
        <w:rPr>
          <w:rFonts w:ascii="Times New Roman" w:hAnsi="Times New Roman" w:cs="Times New Roman"/>
        </w:rPr>
        <w:t xml:space="preserve"> настоящего Указания.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2.3.3. </w:t>
      </w:r>
      <w:proofErr w:type="gramStart"/>
      <w:r w:rsidRPr="006B5EB5">
        <w:rPr>
          <w:rFonts w:ascii="Times New Roman" w:hAnsi="Times New Roman" w:cs="Times New Roman"/>
        </w:rPr>
        <w:t xml:space="preserve">Сопоставление результатов оценки рисков профессионального участника с установленными профессиональным участником критериями существенности последствий, включая последствия, указанные в </w:t>
      </w:r>
      <w:hyperlink w:anchor="P22" w:history="1">
        <w:r w:rsidRPr="006B5EB5">
          <w:rPr>
            <w:rFonts w:ascii="Times New Roman" w:hAnsi="Times New Roman" w:cs="Times New Roman"/>
            <w:color w:val="0000FF"/>
          </w:rPr>
          <w:t>пункте 1.2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к которым может привести реализация соответствующих рисков профессионального участника, в целях признания профессиональным участником рисков значимыми.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2.3.4. Установление предельного размера рисков (допустимого уровня рисков) профессионального участника, а также совокупного предельного размера рисков профессионального участника (далее - ограничения рисков) в соответствии с методикой их определения.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2.4. Профессиональный участник в рамках мониторинга и контроля рисков профессионального участника, снижения рисков профессионального участника или их исключения должен обеспечить выполнение следующих мероприятий.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2.4.1. Определение состояния рисков профессионального участника, в том числе их соответствия установленным профессиональным участником ограничениям рисков, выявление нарушений ограничений рисков.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2.4.2. Обеспечение проведения </w:t>
      </w:r>
      <w:proofErr w:type="spell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r w:rsidRPr="006B5EB5">
        <w:rPr>
          <w:rFonts w:ascii="Times New Roman" w:hAnsi="Times New Roman" w:cs="Times New Roman"/>
        </w:rPr>
        <w:t xml:space="preserve"> рисков (в том числе прямое и обратное стресс-тестирование рисков) профессиональных участников, осуществляющих брокерскую деятельность при совершении отдельных операций и сделок за счет клиентов, в </w:t>
      </w:r>
      <w:proofErr w:type="gramStart"/>
      <w:r w:rsidRPr="006B5EB5">
        <w:rPr>
          <w:rFonts w:ascii="Times New Roman" w:hAnsi="Times New Roman" w:cs="Times New Roman"/>
        </w:rPr>
        <w:t>договорах</w:t>
      </w:r>
      <w:proofErr w:type="gramEnd"/>
      <w:r w:rsidRPr="006B5EB5">
        <w:rPr>
          <w:rFonts w:ascii="Times New Roman" w:hAnsi="Times New Roman" w:cs="Times New Roman"/>
        </w:rPr>
        <w:t xml:space="preserve"> о брокерском обслуживании которых предусмотрены право использовать денежные средства клиента профессионального участника в интересах брокеров, а также возможность возникновения непокрытой позиции, определенной в соответствии с </w:t>
      </w:r>
      <w:hyperlink r:id="rId16" w:history="1">
        <w:r w:rsidRPr="006B5EB5">
          <w:rPr>
            <w:rFonts w:ascii="Times New Roman" w:hAnsi="Times New Roman" w:cs="Times New Roman"/>
            <w:color w:val="0000FF"/>
          </w:rPr>
          <w:t>пунктом 4</w:t>
        </w:r>
      </w:hyperlink>
      <w:r w:rsidRPr="006B5EB5">
        <w:rPr>
          <w:rFonts w:ascii="Times New Roman" w:hAnsi="Times New Roman" w:cs="Times New Roman"/>
        </w:rPr>
        <w:t xml:space="preserve"> Указания Банка России от 18 </w:t>
      </w:r>
      <w:proofErr w:type="gramStart"/>
      <w:r w:rsidRPr="006B5EB5">
        <w:rPr>
          <w:rFonts w:ascii="Times New Roman" w:hAnsi="Times New Roman" w:cs="Times New Roman"/>
        </w:rPr>
        <w:t>апреля 2014 года N 3234-У "О единых требованиях к правилам осуществления брокерской деятельности при совершении отдельных сделок за счет клиентов", зарегистрированного Министерством юстиции Российской Федерации 18 июня 2014 года N 32792, 24 февраля 2016 года N 41207, и (или) возможность заключения по поручению клиентов профессионального участника договоров, являющихся производными финансовыми инструментами (далее - брокер).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Результаты прямого </w:t>
      </w:r>
      <w:proofErr w:type="spell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r w:rsidRPr="006B5EB5">
        <w:rPr>
          <w:rFonts w:ascii="Times New Roman" w:hAnsi="Times New Roman" w:cs="Times New Roman"/>
        </w:rPr>
        <w:t xml:space="preserve"> рисков брокера должны показать, насколько изменится способность брокера исполнять свои обязательства в случае неисполнения одним или несколькими клиентами брокера своих обязательств перед брокером при одновременном обесценении и (или) снижении ликвидности их имущества, как находящегося в распоряжении у брокера, так и приобретаемого по сделкам, совершенным по поручениям этих клиентов.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Результаты обратного </w:t>
      </w:r>
      <w:proofErr w:type="spellStart"/>
      <w:proofErr w:type="gram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proofErr w:type="gramEnd"/>
      <w:r w:rsidRPr="006B5EB5">
        <w:rPr>
          <w:rFonts w:ascii="Times New Roman" w:hAnsi="Times New Roman" w:cs="Times New Roman"/>
        </w:rPr>
        <w:t xml:space="preserve"> рисков брокера должны показывать критические значения обязательств клиентов брокера перед брокером, неисполнение которых повлечет неспособность брокера отвечать по своим обязательствам при заданном обесценении и (или) снижении ликвидности имущества клиентов брокера, как находящегося в распоряжении у брокера, так и приобретаемого по сделкам, совершенным по поручениям этих клиентов.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lastRenderedPageBreak/>
        <w:t xml:space="preserve">Результаты прямого и обратного </w:t>
      </w:r>
      <w:proofErr w:type="spellStart"/>
      <w:proofErr w:type="gram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proofErr w:type="gramEnd"/>
      <w:r w:rsidRPr="006B5EB5">
        <w:rPr>
          <w:rFonts w:ascii="Times New Roman" w:hAnsi="Times New Roman" w:cs="Times New Roman"/>
        </w:rPr>
        <w:t xml:space="preserve"> рисков брокера должны быть оформлены документально.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2.4.3. Разработка и реализация мероприятий по устранению выявленных нарушений ограничений рисков и (или) иных мероприятий в отношении рисков профессионального участника, в том числе принятие решения, направленного на отказ от риска, его снижение, передачу (страхование), принятие или увеличение.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>Профессиональный участник должен обеспечить в отношении рисков профессионального участника, включенных в реестр рисков профессионального участника, разработку внутреннего (внутренних) документа (документов), содержащего (содержащих) перечень мероприятий по снижению этих рисков или их исключению (далее - план мероприятий), обязательное доведение плана мероприятий до сведения органов управления профессионального участника.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2.4.4. Оценка эффективности управления рисками профессионального участника посредством анализа результативности своей деятельности по выявлению нарушений ограничений рисков и их устранению и (или) по осуществлению иных мероприятий в рамках снижения этих рисков или их исключения.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3"/>
      <w:bookmarkEnd w:id="4"/>
      <w:r w:rsidRPr="006B5EB5">
        <w:rPr>
          <w:rFonts w:ascii="Times New Roman" w:hAnsi="Times New Roman" w:cs="Times New Roman"/>
        </w:rPr>
        <w:t xml:space="preserve">2.4.5. Обеспечение </w:t>
      </w:r>
      <w:proofErr w:type="gramStart"/>
      <w:r w:rsidRPr="006B5EB5">
        <w:rPr>
          <w:rFonts w:ascii="Times New Roman" w:hAnsi="Times New Roman" w:cs="Times New Roman"/>
        </w:rPr>
        <w:t>контроля за</w:t>
      </w:r>
      <w:proofErr w:type="gramEnd"/>
      <w:r w:rsidRPr="006B5EB5">
        <w:rPr>
          <w:rFonts w:ascii="Times New Roman" w:hAnsi="Times New Roman" w:cs="Times New Roman"/>
        </w:rPr>
        <w:t xml:space="preserve"> выполнением процессов и мероприятий, предусмотренных настоящей главой, органами управления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2.5. Профессиональный участник в рамках обмена информацией о рисках профессионального участника должен обеспечить выполнение следующих мероприятий.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2.5.1. Обмен информацией о рисках профессионального участника между подразделениями профессионального участника, между подразделениями профессионального участника и органами управления профессионального участника, в том числе доведение плана мероприятий и информац</w:t>
      </w:r>
      <w:proofErr w:type="gramStart"/>
      <w:r w:rsidRPr="006B5EB5">
        <w:rPr>
          <w:rFonts w:ascii="Times New Roman" w:hAnsi="Times New Roman" w:cs="Times New Roman"/>
        </w:rPr>
        <w:t>ии о е</w:t>
      </w:r>
      <w:proofErr w:type="gramEnd"/>
      <w:r w:rsidRPr="006B5EB5">
        <w:rPr>
          <w:rFonts w:ascii="Times New Roman" w:hAnsi="Times New Roman" w:cs="Times New Roman"/>
        </w:rPr>
        <w:t>го реализации, а также информации об ограничениях рисков и нарушениях ограничений рисков до сведения органов управления профессионального участника.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2.5.2. </w:t>
      </w:r>
      <w:proofErr w:type="gramStart"/>
      <w:r w:rsidRPr="006B5EB5">
        <w:rPr>
          <w:rFonts w:ascii="Times New Roman" w:hAnsi="Times New Roman" w:cs="Times New Roman"/>
        </w:rPr>
        <w:t xml:space="preserve">Составление и представление на рассмотрение органов управления профессионального участника отчетов о результатах осуществления профессиональным участником в рамках организации системы управления рисками процессов и мероприятий, предусмотренных настоящей главой, в целях обеспечения эффективности функционирования системы управления рисками, принятия решений по вопросам развития (совершенствования) системы управления рисками и осуществления мероприятия, указанного в </w:t>
      </w:r>
      <w:hyperlink w:anchor="P73" w:history="1">
        <w:r w:rsidRPr="006B5EB5">
          <w:rPr>
            <w:rFonts w:ascii="Times New Roman" w:hAnsi="Times New Roman" w:cs="Times New Roman"/>
            <w:color w:val="0000FF"/>
          </w:rPr>
          <w:t>подпункте 2.4.5 пункта 2.4</w:t>
        </w:r>
      </w:hyperlink>
      <w:r w:rsidRPr="006B5EB5">
        <w:rPr>
          <w:rFonts w:ascii="Times New Roman" w:hAnsi="Times New Roman" w:cs="Times New Roman"/>
        </w:rPr>
        <w:t xml:space="preserve"> настоящего Указания.</w:t>
      </w:r>
      <w:proofErr w:type="gramEnd"/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bookmarkStart w:id="5" w:name="P78"/>
      <w:bookmarkEnd w:id="5"/>
      <w:r w:rsidRPr="006B5EB5">
        <w:rPr>
          <w:rFonts w:ascii="Times New Roman" w:hAnsi="Times New Roman" w:cs="Times New Roman"/>
        </w:rPr>
        <w:t>Глава 3. Требования к регламенту управления рисками профессионального участника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3.1. Регламент управления рисками профессионального участника, разработанный в соответствии с </w:t>
      </w:r>
      <w:hyperlink w:anchor="P22" w:history="1">
        <w:r w:rsidRPr="006B5EB5">
          <w:rPr>
            <w:rFonts w:ascii="Times New Roman" w:hAnsi="Times New Roman" w:cs="Times New Roman"/>
            <w:color w:val="0000FF"/>
          </w:rPr>
          <w:t>пунктом 1.2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должен включать: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общие положения, определяющие цели организации системы управления рисками;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признания профессиональным участником рисков </w:t>
      </w:r>
      <w:proofErr w:type="gramStart"/>
      <w:r w:rsidRPr="006B5EB5">
        <w:rPr>
          <w:rFonts w:ascii="Times New Roman" w:hAnsi="Times New Roman" w:cs="Times New Roman"/>
        </w:rPr>
        <w:t>значимыми</w:t>
      </w:r>
      <w:proofErr w:type="gramEnd"/>
      <w:r w:rsidRPr="006B5EB5">
        <w:rPr>
          <w:rFonts w:ascii="Times New Roman" w:hAnsi="Times New Roman" w:cs="Times New Roman"/>
        </w:rPr>
        <w:t xml:space="preserve">, а также определение критериев существенности последствий, включая последствия, указанные в </w:t>
      </w:r>
      <w:hyperlink w:anchor="P22" w:history="1">
        <w:r w:rsidRPr="006B5EB5">
          <w:rPr>
            <w:rFonts w:ascii="Times New Roman" w:hAnsi="Times New Roman" w:cs="Times New Roman"/>
            <w:color w:val="0000FF"/>
          </w:rPr>
          <w:t>пункте 1.2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к которым может привести реализация рисков профессионального участника, в целях признания профессиональным участником рисков значимыми;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методику определения ограничений рисков;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выявления нарушений ограничений рисков и порядок осуществления мероприятий по их устранению и (или) осуществления иных мероприятий в отношении рисков профессионального участника в рамках снижения этих рисков или их исключения, </w:t>
      </w:r>
      <w:proofErr w:type="gramStart"/>
      <w:r w:rsidRPr="006B5EB5">
        <w:rPr>
          <w:rFonts w:ascii="Times New Roman" w:hAnsi="Times New Roman" w:cs="Times New Roman"/>
        </w:rPr>
        <w:t>контроля за</w:t>
      </w:r>
      <w:proofErr w:type="gramEnd"/>
      <w:r w:rsidRPr="006B5EB5">
        <w:rPr>
          <w:rFonts w:ascii="Times New Roman" w:hAnsi="Times New Roman" w:cs="Times New Roman"/>
        </w:rPr>
        <w:t xml:space="preserve"> их реализацией;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организации и осуществления процессов и мероприятий, предусмотренных </w:t>
      </w:r>
      <w:hyperlink w:anchor="P40" w:history="1">
        <w:r w:rsidRPr="006B5EB5">
          <w:rPr>
            <w:rFonts w:ascii="Times New Roman" w:hAnsi="Times New Roman" w:cs="Times New Roman"/>
            <w:color w:val="0000FF"/>
          </w:rPr>
          <w:t>главой 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в том числе принятия решений профессиональным участником в рамках </w:t>
      </w:r>
      <w:r w:rsidRPr="006B5EB5">
        <w:rPr>
          <w:rFonts w:ascii="Times New Roman" w:hAnsi="Times New Roman" w:cs="Times New Roman"/>
        </w:rPr>
        <w:lastRenderedPageBreak/>
        <w:t>управления рисками профессионального участника (по каждому виду рисков, за исключением регуляторного риска);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ведения на постоянной основе реестра рисков профессионального участника с указанием источников этих рисков (за исключением регуляторного риска), а также периодичность пересмотра реестра рисков профессионального участника в целях актуализации данных, содержащихся в нем (за исключением случая, предусмотренного </w:t>
      </w:r>
      <w:hyperlink w:anchor="P57" w:history="1">
        <w:r w:rsidRPr="006B5EB5">
          <w:rPr>
            <w:rFonts w:ascii="Times New Roman" w:hAnsi="Times New Roman" w:cs="Times New Roman"/>
            <w:color w:val="0000FF"/>
          </w:rPr>
          <w:t>абзацем вторым подпункта 2.2.2 пункта 2.2</w:t>
        </w:r>
      </w:hyperlink>
      <w:r w:rsidRPr="006B5EB5">
        <w:rPr>
          <w:rFonts w:ascii="Times New Roman" w:hAnsi="Times New Roman" w:cs="Times New Roman"/>
        </w:rPr>
        <w:t xml:space="preserve"> настоящего Указания);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права и обязанности органов управления профессионального участника, руководителей и работников структурных подразделений профессионального участника, в том числе должностного лица (руководителя отдельного структурного подразделения), ответственного за организацию системы управления рисками, в рамках организации системы управления рисками профессионального участника;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>порядок взаимодействия органов управления профессионального участника и структурных подразделений профессионального участника, в том числе установление случаев и порядка обязательного информирования органов управления профессионального участника о рисках профессионального участника (за исключением регуляторного риска) и доведения до сведения органов управления профессионального участника плана мероприятий и информации о его реализации, а также информации об ограничениях рисков и нарушениях ограничений рисков;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порядок, содержание и периодичность (не реже одного раза в квартал) представления отчетов об управлении рисками профессионального участника, в том числе отчетов о результатах осуществления профессиональным участником в рамках организации системы управления рисками процессов и мероприятий, предусмотренных </w:t>
      </w:r>
      <w:hyperlink w:anchor="P40" w:history="1">
        <w:r w:rsidRPr="006B5EB5">
          <w:rPr>
            <w:rFonts w:ascii="Times New Roman" w:hAnsi="Times New Roman" w:cs="Times New Roman"/>
            <w:color w:val="0000FF"/>
          </w:rPr>
          <w:t>главой 2</w:t>
        </w:r>
      </w:hyperlink>
      <w:r w:rsidRPr="006B5EB5">
        <w:rPr>
          <w:rFonts w:ascii="Times New Roman" w:hAnsi="Times New Roman" w:cs="Times New Roman"/>
        </w:rPr>
        <w:t xml:space="preserve"> настоящего Указания, органам управления профессионального участника, за исключением отчетов об управлении регуляторным риском;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порядок управления рисками профессионального участника в случае привлечения профессиональным участником третьих лиц для осуществления ими отдельных процессов и мероприятий в отношении рисков профессионального участника в рамках организации системы управления рисками и рисками, возникающими в связи с таким привлечением;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периодичность (не реже одного раза в год) и порядок проведения самооценки, порядок оформления ее результатов;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проведения прямого и обратного </w:t>
      </w:r>
      <w:proofErr w:type="spellStart"/>
      <w:proofErr w:type="gram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proofErr w:type="gramEnd"/>
      <w:r w:rsidRPr="006B5EB5">
        <w:rPr>
          <w:rFonts w:ascii="Times New Roman" w:hAnsi="Times New Roman" w:cs="Times New Roman"/>
        </w:rPr>
        <w:t xml:space="preserve"> рисков брокера, включающий в себя периодичность проведения (не реже одного раза в год);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6B5EB5">
        <w:rPr>
          <w:rFonts w:ascii="Times New Roman" w:hAnsi="Times New Roman" w:cs="Times New Roman"/>
        </w:rPr>
        <w:t xml:space="preserve">порядок документального оформления результатов прямого и обратного </w:t>
      </w:r>
      <w:proofErr w:type="spellStart"/>
      <w:r w:rsidRPr="006B5EB5">
        <w:rPr>
          <w:rFonts w:ascii="Times New Roman" w:hAnsi="Times New Roman" w:cs="Times New Roman"/>
        </w:rPr>
        <w:t>стресс-тестирования</w:t>
      </w:r>
      <w:proofErr w:type="spellEnd"/>
      <w:r w:rsidRPr="006B5EB5">
        <w:rPr>
          <w:rFonts w:ascii="Times New Roman" w:hAnsi="Times New Roman" w:cs="Times New Roman"/>
        </w:rPr>
        <w:t xml:space="preserve"> рисков брокера, содержащий описание сценариев и (или) методологию их составления, порядок определения критических значений обязательств клиентов перед брокером, неисполнение которых повлечет неспособность последнего отвечать по своим обязательствам при заданном обесценении и (или) снижении ликвидности имущества клиентов, как находящегося в распоряжении у брокера, так и приобретаемого по сделкам, совершенным по поручениям этих клиентов;</w:t>
      </w:r>
      <w:proofErr w:type="gramEnd"/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</w:t>
      </w:r>
      <w:proofErr w:type="gramStart"/>
      <w:r w:rsidRPr="006B5EB5">
        <w:rPr>
          <w:rFonts w:ascii="Times New Roman" w:hAnsi="Times New Roman" w:cs="Times New Roman"/>
        </w:rPr>
        <w:t>оценки эффективности функционирования системы управления</w:t>
      </w:r>
      <w:proofErr w:type="gramEnd"/>
      <w:r w:rsidRPr="006B5EB5">
        <w:rPr>
          <w:rFonts w:ascii="Times New Roman" w:hAnsi="Times New Roman" w:cs="Times New Roman"/>
        </w:rPr>
        <w:t xml:space="preserve"> рисками и принятия решений по вопросам развития (совершенствования) системы управления рисками;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порядок осуществления клиентским брокером мероприятий по предотвращению, выявлению конфликта интересов и управлению конфликтом интересов в случае возложения функций должностного лица (отдельного структурного подразделения), ответственного за организацию системы управления рисками, на единоличный исполнительный орган клиентского брокера;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порядок осуществления органами управления профессионального участника </w:t>
      </w:r>
      <w:proofErr w:type="gramStart"/>
      <w:r w:rsidRPr="006B5EB5">
        <w:rPr>
          <w:rFonts w:ascii="Times New Roman" w:hAnsi="Times New Roman" w:cs="Times New Roman"/>
        </w:rPr>
        <w:t>контроля за</w:t>
      </w:r>
      <w:proofErr w:type="gramEnd"/>
      <w:r w:rsidRPr="006B5EB5">
        <w:rPr>
          <w:rFonts w:ascii="Times New Roman" w:hAnsi="Times New Roman" w:cs="Times New Roman"/>
        </w:rPr>
        <w:t xml:space="preserve"> выполнением процессов и мероприятий, предусмотренных </w:t>
      </w:r>
      <w:hyperlink w:anchor="P40" w:history="1">
        <w:r w:rsidRPr="006B5EB5">
          <w:rPr>
            <w:rFonts w:ascii="Times New Roman" w:hAnsi="Times New Roman" w:cs="Times New Roman"/>
            <w:color w:val="0000FF"/>
          </w:rPr>
          <w:t>главой 2</w:t>
        </w:r>
      </w:hyperlink>
      <w:r w:rsidRPr="006B5EB5">
        <w:rPr>
          <w:rFonts w:ascii="Times New Roman" w:hAnsi="Times New Roman" w:cs="Times New Roman"/>
        </w:rPr>
        <w:t xml:space="preserve"> настоящего Указания.</w:t>
      </w:r>
    </w:p>
    <w:p w:rsidR="006B5EB5" w:rsidRPr="006B5EB5" w:rsidRDefault="006B5E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lastRenderedPageBreak/>
        <w:t>3.2. Профессиональный участник пересматривает регламент управления рисками профессионального участника по мере необходимости (не реже одного раза в год) в целях актуализации содержащихся в нем сведений и (или) повышения эффективности функционирования системы управления рисками.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Глава 4. Заключительные положения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 xml:space="preserve">4.1. Настоящее Указание в соответствии с решением Совета директоров Банка России (протокол </w:t>
      </w:r>
      <w:proofErr w:type="gramStart"/>
      <w:r w:rsidRPr="006B5EB5">
        <w:rPr>
          <w:rFonts w:ascii="Times New Roman" w:hAnsi="Times New Roman" w:cs="Times New Roman"/>
        </w:rPr>
        <w:t>заседания Совета директоров Банка России</w:t>
      </w:r>
      <w:proofErr w:type="gramEnd"/>
      <w:r w:rsidRPr="006B5EB5">
        <w:rPr>
          <w:rFonts w:ascii="Times New Roman" w:hAnsi="Times New Roman" w:cs="Times New Roman"/>
        </w:rPr>
        <w:t xml:space="preserve"> от 9 августа 2017 года N 18) вступает в силу по истечении шести месяцев после дня его официального опубликования.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jc w:val="right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И.о. Председателя Центрального банка</w:t>
      </w:r>
    </w:p>
    <w:p w:rsidR="006B5EB5" w:rsidRPr="006B5EB5" w:rsidRDefault="006B5EB5">
      <w:pPr>
        <w:pStyle w:val="ConsPlusNormal"/>
        <w:jc w:val="right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Российской Федерации</w:t>
      </w:r>
    </w:p>
    <w:p w:rsidR="006B5EB5" w:rsidRPr="006B5EB5" w:rsidRDefault="006B5EB5">
      <w:pPr>
        <w:pStyle w:val="ConsPlusNormal"/>
        <w:jc w:val="right"/>
        <w:rPr>
          <w:rFonts w:ascii="Times New Roman" w:hAnsi="Times New Roman" w:cs="Times New Roman"/>
        </w:rPr>
      </w:pPr>
      <w:r w:rsidRPr="006B5EB5">
        <w:rPr>
          <w:rFonts w:ascii="Times New Roman" w:hAnsi="Times New Roman" w:cs="Times New Roman"/>
        </w:rPr>
        <w:t>Д.В.ТУЛИН</w:t>
      </w: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jc w:val="both"/>
        <w:rPr>
          <w:rFonts w:ascii="Times New Roman" w:hAnsi="Times New Roman" w:cs="Times New Roman"/>
        </w:rPr>
      </w:pPr>
    </w:p>
    <w:p w:rsidR="006B5EB5" w:rsidRPr="006B5EB5" w:rsidRDefault="006B5EB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A71DE" w:rsidRPr="006B5EB5" w:rsidRDefault="002A71DE">
      <w:pPr>
        <w:rPr>
          <w:rFonts w:ascii="Times New Roman" w:hAnsi="Times New Roman" w:cs="Times New Roman"/>
        </w:rPr>
      </w:pPr>
    </w:p>
    <w:sectPr w:rsidR="002A71DE" w:rsidRPr="006B5EB5" w:rsidSect="00533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5EB5"/>
    <w:rsid w:val="00113D85"/>
    <w:rsid w:val="002A71DE"/>
    <w:rsid w:val="006B5EB5"/>
    <w:rsid w:val="00950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5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5E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BC4CA2F4984235CDC752C6D5AC118F375E7E9A17B8938386149113C093DCD19A6860CC9B06e7h8I" TargetMode="External"/><Relationship Id="rId13" Type="http://schemas.openxmlformats.org/officeDocument/2006/relationships/hyperlink" Target="consultantplus://offline/ref=3BBC4CA2F4984235CDC752C6D5AC118F3451749C14B5938386149113C0e9h3I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BC4CA2F4984235CDC752C6D5AC118F375E7E9A17B8938386149113C093DCD19A6860CC9400e7h0I" TargetMode="External"/><Relationship Id="rId12" Type="http://schemas.openxmlformats.org/officeDocument/2006/relationships/hyperlink" Target="consultantplus://offline/ref=3BBC4CA2F4984235CDC752C6D5AC118F345F7D9D17B4938386149113C0e9h3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BC4CA2F4984235CDC752C6D5AC118F345F799917B7938386149113C093DCD19A6860eCh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BBC4CA2F4984235CDC752C6D5AC118F375E7E9A17B8938386149113C093DCD19A6860CC9400e7h3I" TargetMode="External"/><Relationship Id="rId11" Type="http://schemas.openxmlformats.org/officeDocument/2006/relationships/hyperlink" Target="consultantplus://offline/ref=3BBC4CA2F4984235CDC752C6D5AC118F3450759F1AB5938386149113C0e9h3I" TargetMode="External"/><Relationship Id="rId5" Type="http://schemas.openxmlformats.org/officeDocument/2006/relationships/hyperlink" Target="consultantplus://offline/ref=3BBC4CA2F4984235CDC752C6D5AC118F375E7E9A17B8938386149113C093DCD19A6860CC9400e7h0I" TargetMode="External"/><Relationship Id="rId15" Type="http://schemas.openxmlformats.org/officeDocument/2006/relationships/hyperlink" Target="consultantplus://offline/ref=3BBC4CA2F4984235CDC752C6D5AC118F375E7B9B1BB3938386149113C0e9h3I" TargetMode="External"/><Relationship Id="rId10" Type="http://schemas.openxmlformats.org/officeDocument/2006/relationships/hyperlink" Target="consultantplus://offline/ref=3BBC4CA2F4984235CDC752C6D5AC118F375E7E9A17B8938386149113C093DCD19A6860CC9506e7h1I" TargetMode="External"/><Relationship Id="rId4" Type="http://schemas.openxmlformats.org/officeDocument/2006/relationships/hyperlink" Target="consultantplus://offline/ref=3BBC4CA2F4984235CDC752C6D5AC118F375E7E9A17B8938386149113C093DCD19A6860CC9503e7h3I" TargetMode="External"/><Relationship Id="rId9" Type="http://schemas.openxmlformats.org/officeDocument/2006/relationships/hyperlink" Target="consultantplus://offline/ref=3BBC4CA2F4984235CDC752C6D5AC118F37577A9714B7938386149113C0e9h3I" TargetMode="External"/><Relationship Id="rId14" Type="http://schemas.openxmlformats.org/officeDocument/2006/relationships/hyperlink" Target="consultantplus://offline/ref=3BBC4CA2F4984235CDC752C6D5AC118F34537C9812B6938386149113C0e9h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4104</Words>
  <Characters>23397</Characters>
  <Application>Microsoft Office Word</Application>
  <DocSecurity>0</DocSecurity>
  <Lines>194</Lines>
  <Paragraphs>54</Paragraphs>
  <ScaleCrop>false</ScaleCrop>
  <Company/>
  <LinksUpToDate>false</LinksUpToDate>
  <CharactersWithSpaces>27447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Pan</cp:lastModifiedBy>
  <cp:revision>2</cp:revision>
  <dcterms:created xsi:type="dcterms:W3CDTF">2018-01-11T08:33:00Z</dcterms:created>
  <dcterms:modified xsi:type="dcterms:W3CDTF">2018-01-11T08:36:00Z</dcterms:modified>
</cp:coreProperties>
</file>