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DD" w:rsidRPr="00810396" w:rsidRDefault="00DD5CDD" w:rsidP="00DD5CDD">
      <w:bookmarkStart w:id="0" w:name="_GoBack"/>
      <w:bookmarkEnd w:id="0"/>
    </w:p>
    <w:p w:rsidR="00DD5CDD" w:rsidRPr="00B17643" w:rsidRDefault="00DD5CDD" w:rsidP="00DD5C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0"/>
          <w:szCs w:val="20"/>
        </w:rPr>
      </w:pPr>
      <w:r w:rsidRPr="00B17643">
        <w:rPr>
          <w:rFonts w:cs="Times New Roman"/>
          <w:sz w:val="20"/>
          <w:szCs w:val="20"/>
        </w:rPr>
        <w:t>Порядок</w:t>
      </w:r>
    </w:p>
    <w:p w:rsidR="00DD5CDD" w:rsidRPr="00B17643" w:rsidRDefault="00DD5CDD" w:rsidP="00DD5CD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B17643">
        <w:rPr>
          <w:rFonts w:cs="Times New Roman"/>
          <w:sz w:val="20"/>
          <w:szCs w:val="20"/>
        </w:rPr>
        <w:t>составления и представления отчетности по форме 04204</w:t>
      </w:r>
      <w:r w:rsidRPr="00B17643">
        <w:rPr>
          <w:rFonts w:cs="Times New Roman"/>
          <w:sz w:val="20"/>
          <w:szCs w:val="20"/>
          <w:highlight w:val="yellow"/>
        </w:rPr>
        <w:t>ХХ</w:t>
      </w:r>
    </w:p>
    <w:p w:rsidR="00DD5CDD" w:rsidRPr="00B17643" w:rsidRDefault="00DD5CDD" w:rsidP="00DD5CD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B17643">
        <w:rPr>
          <w:rFonts w:cs="Times New Roman"/>
          <w:sz w:val="20"/>
          <w:szCs w:val="20"/>
        </w:rPr>
        <w:t xml:space="preserve">"Расчет показателя </w:t>
      </w:r>
      <w:r>
        <w:rPr>
          <w:rFonts w:cs="Times New Roman"/>
          <w:sz w:val="20"/>
          <w:szCs w:val="20"/>
        </w:rPr>
        <w:t>достаточности капитала</w:t>
      </w:r>
      <w:r w:rsidRPr="00B17643">
        <w:rPr>
          <w:rFonts w:cs="Times New Roman"/>
          <w:sz w:val="20"/>
          <w:szCs w:val="20"/>
        </w:rPr>
        <w:t>"</w:t>
      </w:r>
    </w:p>
    <w:p w:rsidR="00DD5CDD" w:rsidRPr="00B17643" w:rsidRDefault="00DD5CDD" w:rsidP="00DD5CD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0"/>
          <w:szCs w:val="20"/>
        </w:rPr>
      </w:pPr>
    </w:p>
    <w:p w:rsidR="00DD5CDD" w:rsidRPr="00B17643" w:rsidRDefault="00DD5CDD" w:rsidP="003F3EC5">
      <w:pPr>
        <w:autoSpaceDE w:val="0"/>
        <w:autoSpaceDN w:val="0"/>
        <w:adjustRightInd w:val="0"/>
        <w:spacing w:after="0"/>
        <w:ind w:firstLine="426"/>
        <w:contextualSpacing/>
        <w:rPr>
          <w:rFonts w:cs="Times New Roman"/>
          <w:sz w:val="20"/>
          <w:szCs w:val="20"/>
        </w:rPr>
      </w:pPr>
      <w:r w:rsidRPr="00B17643">
        <w:rPr>
          <w:rFonts w:cs="Times New Roman"/>
          <w:sz w:val="20"/>
          <w:szCs w:val="20"/>
        </w:rPr>
        <w:t xml:space="preserve">1. Отчетность по </w:t>
      </w:r>
      <w:hyperlink r:id="rId5" w:history="1">
        <w:r w:rsidRPr="00B17643">
          <w:rPr>
            <w:rFonts w:cs="Times New Roman"/>
            <w:color w:val="0000FF"/>
            <w:sz w:val="20"/>
            <w:szCs w:val="20"/>
          </w:rPr>
          <w:t>форме 04204</w:t>
        </w:r>
        <w:r w:rsidRPr="00B17643">
          <w:rPr>
            <w:rFonts w:cs="Times New Roman"/>
            <w:color w:val="0000FF"/>
            <w:sz w:val="20"/>
            <w:szCs w:val="20"/>
            <w:highlight w:val="yellow"/>
          </w:rPr>
          <w:t>ХХ</w:t>
        </w:r>
      </w:hyperlink>
      <w:r w:rsidRPr="00B17643">
        <w:rPr>
          <w:rFonts w:cs="Times New Roman"/>
          <w:sz w:val="20"/>
          <w:szCs w:val="20"/>
        </w:rPr>
        <w:t xml:space="preserve"> "Расчет показателя </w:t>
      </w:r>
      <w:r>
        <w:rPr>
          <w:rFonts w:cs="Times New Roman"/>
          <w:sz w:val="20"/>
          <w:szCs w:val="20"/>
        </w:rPr>
        <w:t>достаточности капитала</w:t>
      </w:r>
      <w:r w:rsidRPr="00B17643">
        <w:rPr>
          <w:rFonts w:cs="Times New Roman"/>
          <w:sz w:val="20"/>
          <w:szCs w:val="20"/>
        </w:rPr>
        <w:t xml:space="preserve">" (далее - Отчет) составляется профессиональными участниками, имеющими лицензии на осуществление </w:t>
      </w:r>
      <w:r>
        <w:rPr>
          <w:rFonts w:cs="Times New Roman"/>
          <w:sz w:val="20"/>
          <w:szCs w:val="20"/>
        </w:rPr>
        <w:t xml:space="preserve">дилерской, </w:t>
      </w:r>
      <w:r w:rsidRPr="00B17643">
        <w:rPr>
          <w:rFonts w:cs="Times New Roman"/>
          <w:sz w:val="20"/>
          <w:szCs w:val="20"/>
        </w:rPr>
        <w:t xml:space="preserve">брокерской деятельности, </w:t>
      </w:r>
      <w:r w:rsidRPr="003D19B5">
        <w:rPr>
          <w:rFonts w:cs="Times New Roman"/>
          <w:sz w:val="20"/>
          <w:szCs w:val="20"/>
        </w:rPr>
        <w:t>деятельности по управлению ценными бумагами, деятельности форекс-дилеров</w:t>
      </w:r>
      <w:r>
        <w:rPr>
          <w:rFonts w:cs="Times New Roman"/>
          <w:sz w:val="20"/>
          <w:szCs w:val="20"/>
        </w:rPr>
        <w:t xml:space="preserve"> (далее – профессиональные участники)</w:t>
      </w:r>
      <w:r w:rsidRPr="00B17643">
        <w:rPr>
          <w:rFonts w:cs="Times New Roman"/>
          <w:sz w:val="20"/>
          <w:szCs w:val="20"/>
        </w:rPr>
        <w:t>.</w:t>
      </w:r>
    </w:p>
    <w:p w:rsidR="00DD5CDD" w:rsidRPr="00B17643" w:rsidRDefault="00DD5CDD" w:rsidP="003F3EC5">
      <w:pPr>
        <w:autoSpaceDE w:val="0"/>
        <w:autoSpaceDN w:val="0"/>
        <w:adjustRightInd w:val="0"/>
        <w:spacing w:after="0"/>
        <w:ind w:firstLine="426"/>
        <w:contextualSpacing/>
        <w:rPr>
          <w:rFonts w:cs="Times New Roman"/>
          <w:sz w:val="20"/>
          <w:szCs w:val="20"/>
        </w:rPr>
      </w:pPr>
      <w:r w:rsidRPr="00B17643">
        <w:rPr>
          <w:rFonts w:cs="Times New Roman"/>
          <w:sz w:val="20"/>
          <w:szCs w:val="20"/>
        </w:rPr>
        <w:t xml:space="preserve">Для целей составления и представления Отчета расчет показателя </w:t>
      </w:r>
      <w:r>
        <w:rPr>
          <w:rFonts w:cs="Times New Roman"/>
          <w:sz w:val="20"/>
          <w:szCs w:val="20"/>
        </w:rPr>
        <w:t>достаточности капитала</w:t>
      </w:r>
      <w:r w:rsidRPr="00B17643">
        <w:rPr>
          <w:rFonts w:cs="Times New Roman"/>
          <w:sz w:val="20"/>
          <w:szCs w:val="20"/>
        </w:rPr>
        <w:t xml:space="preserve"> осуществляется </w:t>
      </w:r>
      <w:r>
        <w:rPr>
          <w:rFonts w:cs="Times New Roman"/>
          <w:sz w:val="20"/>
          <w:szCs w:val="20"/>
        </w:rPr>
        <w:t xml:space="preserve">профессиональными участниками </w:t>
      </w:r>
      <w:r w:rsidRPr="00B17643">
        <w:rPr>
          <w:rFonts w:cs="Times New Roman"/>
          <w:sz w:val="20"/>
          <w:szCs w:val="20"/>
        </w:rPr>
        <w:t xml:space="preserve">в соответствии с </w:t>
      </w:r>
      <w:hyperlink r:id="rId6" w:history="1">
        <w:r>
          <w:rPr>
            <w:rFonts w:cs="Times New Roman"/>
            <w:color w:val="0000FF"/>
            <w:sz w:val="20"/>
            <w:szCs w:val="20"/>
          </w:rPr>
          <w:t>Указанием</w:t>
        </w:r>
      </w:hyperlink>
      <w:r w:rsidRPr="00B17643">
        <w:rPr>
          <w:rFonts w:cs="Times New Roman"/>
          <w:sz w:val="20"/>
          <w:szCs w:val="20"/>
        </w:rPr>
        <w:t xml:space="preserve"> Банка России от </w:t>
      </w:r>
      <w:r w:rsidRPr="00B17643">
        <w:rPr>
          <w:rFonts w:cs="Times New Roman"/>
          <w:sz w:val="20"/>
          <w:szCs w:val="20"/>
          <w:highlight w:val="yellow"/>
        </w:rPr>
        <w:t xml:space="preserve">ХХ </w:t>
      </w:r>
      <w:proofErr w:type="spellStart"/>
      <w:r w:rsidRPr="00B17643">
        <w:rPr>
          <w:rFonts w:cs="Times New Roman"/>
          <w:sz w:val="20"/>
          <w:szCs w:val="20"/>
          <w:highlight w:val="yellow"/>
        </w:rPr>
        <w:t>ХХ</w:t>
      </w:r>
      <w:proofErr w:type="spellEnd"/>
      <w:r w:rsidRPr="00B17643">
        <w:rPr>
          <w:rFonts w:cs="Times New Roman"/>
          <w:sz w:val="20"/>
          <w:szCs w:val="20"/>
          <w:highlight w:val="yellow"/>
        </w:rPr>
        <w:t xml:space="preserve"> ХХХХ</w:t>
      </w:r>
      <w:r w:rsidRPr="00B17643">
        <w:rPr>
          <w:rFonts w:cs="Times New Roman"/>
          <w:sz w:val="20"/>
          <w:szCs w:val="20"/>
        </w:rPr>
        <w:t xml:space="preserve"> года № </w:t>
      </w:r>
      <w:r w:rsidRPr="00B17643">
        <w:rPr>
          <w:rFonts w:cs="Times New Roman"/>
          <w:sz w:val="20"/>
          <w:szCs w:val="20"/>
          <w:highlight w:val="yellow"/>
        </w:rPr>
        <w:t>ХХХ</w:t>
      </w:r>
      <w:r w:rsidRPr="00B17643">
        <w:rPr>
          <w:rFonts w:cs="Times New Roman"/>
          <w:sz w:val="20"/>
          <w:szCs w:val="20"/>
        </w:rPr>
        <w:t>-</w:t>
      </w:r>
      <w:r>
        <w:rPr>
          <w:rFonts w:cs="Times New Roman"/>
          <w:sz w:val="20"/>
          <w:szCs w:val="20"/>
        </w:rPr>
        <w:t>У</w:t>
      </w:r>
      <w:r w:rsidRPr="00B17643">
        <w:rPr>
          <w:rFonts w:cs="Times New Roman"/>
          <w:sz w:val="20"/>
          <w:szCs w:val="20"/>
        </w:rPr>
        <w:t xml:space="preserve"> "</w:t>
      </w:r>
      <w:r w:rsidRPr="003D19B5">
        <w:rPr>
          <w:rFonts w:cs="Times New Roman"/>
          <w:sz w:val="20"/>
          <w:szCs w:val="20"/>
        </w:rPr>
        <w:t>О требованиях к осуществлению дилерской, брокерской деятельности, деятельности по управлению ценными бумагами и деятельности форекс-дилеров в части расчета показателя достаточности капитала</w:t>
      </w:r>
      <w:r w:rsidRPr="00B17643">
        <w:rPr>
          <w:rFonts w:cs="Times New Roman"/>
          <w:sz w:val="20"/>
          <w:szCs w:val="20"/>
        </w:rPr>
        <w:t xml:space="preserve">", зарегистрированным Министерством юстиции Российской Федерации </w:t>
      </w:r>
      <w:r w:rsidRPr="00B17643">
        <w:rPr>
          <w:rFonts w:cs="Times New Roman"/>
          <w:sz w:val="20"/>
          <w:szCs w:val="20"/>
          <w:highlight w:val="yellow"/>
        </w:rPr>
        <w:t xml:space="preserve">ХХ </w:t>
      </w:r>
      <w:proofErr w:type="spellStart"/>
      <w:r w:rsidRPr="00B17643">
        <w:rPr>
          <w:rFonts w:cs="Times New Roman"/>
          <w:sz w:val="20"/>
          <w:szCs w:val="20"/>
          <w:highlight w:val="yellow"/>
        </w:rPr>
        <w:t>ХХ</w:t>
      </w:r>
      <w:proofErr w:type="spellEnd"/>
      <w:r w:rsidRPr="00B17643">
        <w:rPr>
          <w:rFonts w:cs="Times New Roman"/>
          <w:sz w:val="20"/>
          <w:szCs w:val="20"/>
          <w:highlight w:val="yellow"/>
        </w:rPr>
        <w:t xml:space="preserve"> ХХХХ</w:t>
      </w:r>
      <w:r w:rsidRPr="00B17643">
        <w:rPr>
          <w:rFonts w:cs="Times New Roman"/>
          <w:sz w:val="20"/>
          <w:szCs w:val="20"/>
        </w:rPr>
        <w:t xml:space="preserve"> года № </w:t>
      </w:r>
      <w:r w:rsidRPr="00B17643">
        <w:rPr>
          <w:rFonts w:cs="Times New Roman"/>
          <w:sz w:val="20"/>
          <w:szCs w:val="20"/>
          <w:highlight w:val="yellow"/>
        </w:rPr>
        <w:t>ХХХХ</w:t>
      </w:r>
      <w:r w:rsidRPr="00B17643">
        <w:rPr>
          <w:rFonts w:cs="Times New Roman"/>
          <w:sz w:val="20"/>
          <w:szCs w:val="20"/>
        </w:rPr>
        <w:t xml:space="preserve"> ("Вестник Банка России" от </w:t>
      </w:r>
      <w:r w:rsidRPr="00B17643">
        <w:rPr>
          <w:rFonts w:cs="Times New Roman"/>
          <w:sz w:val="20"/>
          <w:szCs w:val="20"/>
          <w:highlight w:val="yellow"/>
        </w:rPr>
        <w:t xml:space="preserve">ХХ </w:t>
      </w:r>
      <w:proofErr w:type="spellStart"/>
      <w:r w:rsidRPr="00B17643">
        <w:rPr>
          <w:rFonts w:cs="Times New Roman"/>
          <w:sz w:val="20"/>
          <w:szCs w:val="20"/>
          <w:highlight w:val="yellow"/>
        </w:rPr>
        <w:t>ХХ</w:t>
      </w:r>
      <w:proofErr w:type="spellEnd"/>
      <w:r w:rsidRPr="00B17643">
        <w:rPr>
          <w:rFonts w:cs="Times New Roman"/>
          <w:sz w:val="20"/>
          <w:szCs w:val="20"/>
          <w:highlight w:val="yellow"/>
        </w:rPr>
        <w:t xml:space="preserve"> ХХХХ</w:t>
      </w:r>
      <w:r w:rsidRPr="00B17643">
        <w:rPr>
          <w:rFonts w:cs="Times New Roman"/>
          <w:sz w:val="20"/>
          <w:szCs w:val="20"/>
        </w:rPr>
        <w:t xml:space="preserve"> года № </w:t>
      </w:r>
      <w:r w:rsidRPr="00B17643">
        <w:rPr>
          <w:rFonts w:cs="Times New Roman"/>
          <w:sz w:val="20"/>
          <w:szCs w:val="20"/>
          <w:highlight w:val="yellow"/>
        </w:rPr>
        <w:t>ХХ (ХХХХ</w:t>
      </w:r>
      <w:r w:rsidRPr="00B17643">
        <w:rPr>
          <w:rFonts w:cs="Times New Roman"/>
          <w:sz w:val="20"/>
          <w:szCs w:val="20"/>
        </w:rPr>
        <w:t xml:space="preserve">) (далее - </w:t>
      </w:r>
      <w:r>
        <w:rPr>
          <w:rFonts w:cs="Times New Roman"/>
          <w:sz w:val="20"/>
          <w:szCs w:val="20"/>
        </w:rPr>
        <w:t>Указание</w:t>
      </w:r>
      <w:r w:rsidRPr="00B17643">
        <w:rPr>
          <w:rFonts w:cs="Times New Roman"/>
          <w:sz w:val="20"/>
          <w:szCs w:val="20"/>
        </w:rPr>
        <w:t xml:space="preserve"> Банка России № </w:t>
      </w:r>
      <w:r w:rsidRPr="00B17643">
        <w:rPr>
          <w:rFonts w:cs="Times New Roman"/>
          <w:sz w:val="20"/>
          <w:szCs w:val="20"/>
          <w:highlight w:val="yellow"/>
        </w:rPr>
        <w:t>ХХХ</w:t>
      </w:r>
      <w:r w:rsidRPr="00B17643">
        <w:rPr>
          <w:rFonts w:cs="Times New Roman"/>
          <w:sz w:val="20"/>
          <w:szCs w:val="20"/>
        </w:rPr>
        <w:t>-</w:t>
      </w:r>
      <w:r>
        <w:rPr>
          <w:rFonts w:cs="Times New Roman"/>
          <w:sz w:val="20"/>
          <w:szCs w:val="20"/>
        </w:rPr>
        <w:t>У</w:t>
      </w:r>
      <w:r w:rsidRPr="00B17643">
        <w:rPr>
          <w:rFonts w:cs="Times New Roman"/>
          <w:sz w:val="20"/>
          <w:szCs w:val="20"/>
        </w:rPr>
        <w:t>).</w:t>
      </w:r>
    </w:p>
    <w:p w:rsidR="00DD5CDD" w:rsidRPr="00AB74C0" w:rsidRDefault="00F8757E" w:rsidP="003F3EC5">
      <w:pPr>
        <w:autoSpaceDE w:val="0"/>
        <w:autoSpaceDN w:val="0"/>
        <w:adjustRightInd w:val="0"/>
        <w:spacing w:after="0"/>
        <w:ind w:firstLine="426"/>
        <w:contextualSpacing/>
        <w:rPr>
          <w:rFonts w:cs="Times New Roman"/>
          <w:sz w:val="20"/>
          <w:szCs w:val="20"/>
        </w:rPr>
      </w:pPr>
      <w:hyperlink r:id="rId7" w:history="1">
        <w:r w:rsidR="00DD5CDD" w:rsidRPr="00AB74C0">
          <w:rPr>
            <w:rFonts w:cs="Times New Roman"/>
            <w:color w:val="0000FF"/>
            <w:sz w:val="20"/>
            <w:szCs w:val="20"/>
          </w:rPr>
          <w:t>Отчет</w:t>
        </w:r>
      </w:hyperlink>
      <w:r w:rsidR="00DD5CDD" w:rsidRPr="00AB74C0">
        <w:rPr>
          <w:rFonts w:cs="Times New Roman"/>
          <w:sz w:val="20"/>
          <w:szCs w:val="20"/>
        </w:rPr>
        <w:t xml:space="preserve"> составляется:</w:t>
      </w:r>
    </w:p>
    <w:p w:rsidR="00DD5CDD" w:rsidRPr="00AB74C0" w:rsidRDefault="00DD5CDD" w:rsidP="003F3EC5">
      <w:pPr>
        <w:autoSpaceDE w:val="0"/>
        <w:autoSpaceDN w:val="0"/>
        <w:adjustRightInd w:val="0"/>
        <w:spacing w:after="0"/>
        <w:ind w:firstLine="426"/>
        <w:contextualSpacing/>
        <w:rPr>
          <w:rFonts w:cs="Times New Roman"/>
          <w:sz w:val="20"/>
          <w:szCs w:val="20"/>
        </w:rPr>
      </w:pPr>
      <w:r w:rsidRPr="00AB74C0">
        <w:rPr>
          <w:rFonts w:cs="Times New Roman"/>
          <w:sz w:val="20"/>
          <w:szCs w:val="20"/>
        </w:rPr>
        <w:t>ежемесячно по состоянию на последний календарный день каждого месяца и представляется не позднее 10-го рабочего дня месяца, следующего за отчетным;</w:t>
      </w:r>
    </w:p>
    <w:p w:rsidR="00525DAE" w:rsidRDefault="00DD5CDD" w:rsidP="003F3EC5">
      <w:pPr>
        <w:autoSpaceDE w:val="0"/>
        <w:autoSpaceDN w:val="0"/>
        <w:adjustRightInd w:val="0"/>
        <w:spacing w:after="0"/>
        <w:ind w:firstLine="426"/>
        <w:contextualSpacing/>
        <w:rPr>
          <w:rFonts w:cs="Times New Roman"/>
          <w:sz w:val="20"/>
          <w:szCs w:val="20"/>
        </w:rPr>
      </w:pPr>
      <w:r w:rsidRPr="00AB74C0">
        <w:rPr>
          <w:rFonts w:cs="Times New Roman"/>
          <w:sz w:val="20"/>
          <w:szCs w:val="20"/>
        </w:rPr>
        <w:t>по требованию Банка России и представляется не позднее пяти рабочих дней со дня получения письменного требования Банка России.</w:t>
      </w:r>
    </w:p>
    <w:p w:rsidR="00D74AD6" w:rsidRDefault="00525DAE" w:rsidP="003F3EC5">
      <w:pPr>
        <w:autoSpaceDE w:val="0"/>
        <w:autoSpaceDN w:val="0"/>
        <w:adjustRightInd w:val="0"/>
        <w:spacing w:after="0"/>
        <w:ind w:firstLine="426"/>
        <w:contextualSpacing/>
        <w:rPr>
          <w:rFonts w:cs="Times New Roman"/>
          <w:sz w:val="20"/>
          <w:szCs w:val="20"/>
        </w:rPr>
      </w:pPr>
      <w:r w:rsidRPr="00E25B79">
        <w:rPr>
          <w:rFonts w:cs="Times New Roman"/>
          <w:sz w:val="20"/>
          <w:szCs w:val="20"/>
        </w:rPr>
        <w:t>2. Значения показателей Отчета, указываемые в денежном выражении, отражаются в тысячах рублей с точностью до двух знаков после запятой.</w:t>
      </w:r>
    </w:p>
    <w:p w:rsidR="00E752FF" w:rsidRPr="00AB74C0" w:rsidRDefault="00E752FF" w:rsidP="003F3EC5">
      <w:pPr>
        <w:autoSpaceDE w:val="0"/>
        <w:autoSpaceDN w:val="0"/>
        <w:adjustRightInd w:val="0"/>
        <w:spacing w:after="0"/>
        <w:ind w:firstLine="426"/>
        <w:contextualSpacing/>
        <w:rPr>
          <w:rFonts w:cs="Times New Roman"/>
          <w:sz w:val="20"/>
          <w:szCs w:val="20"/>
        </w:rPr>
      </w:pPr>
      <w:r w:rsidRPr="00E25B79">
        <w:rPr>
          <w:rFonts w:cs="Times New Roman"/>
          <w:sz w:val="20"/>
          <w:szCs w:val="20"/>
        </w:rPr>
        <w:t>3. По строке 5 раздела 1 указывается нормативное значение показателя достаточности капитала, установленное Банком России.</w:t>
      </w:r>
    </w:p>
    <w:p w:rsidR="003F3EC5" w:rsidRDefault="00D74AD6" w:rsidP="003F3EC5">
      <w:pPr>
        <w:autoSpaceDE w:val="0"/>
        <w:autoSpaceDN w:val="0"/>
        <w:adjustRightInd w:val="0"/>
        <w:spacing w:after="0"/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По строкам</w:t>
      </w:r>
      <w:r w:rsidR="00DD5CDD">
        <w:rPr>
          <w:rFonts w:cs="Times New Roman"/>
          <w:sz w:val="20"/>
          <w:szCs w:val="20"/>
        </w:rPr>
        <w:t xml:space="preserve"> 1-3</w:t>
      </w:r>
      <w:r w:rsidR="00DD5CDD" w:rsidRPr="00810396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в</w:t>
      </w:r>
      <w:r w:rsidRPr="00AB74C0">
        <w:rPr>
          <w:rFonts w:cs="Times New Roman"/>
          <w:sz w:val="20"/>
          <w:szCs w:val="20"/>
        </w:rPr>
        <w:t xml:space="preserve"> </w:t>
      </w:r>
      <w:r w:rsidRPr="00D74AD6">
        <w:rPr>
          <w:rFonts w:cs="Times New Roman"/>
          <w:sz w:val="20"/>
          <w:szCs w:val="20"/>
        </w:rPr>
        <w:t>графе 3</w:t>
      </w:r>
      <w:r w:rsidRPr="00AB74C0">
        <w:rPr>
          <w:rFonts w:cs="Times New Roman"/>
          <w:sz w:val="20"/>
          <w:szCs w:val="20"/>
        </w:rPr>
        <w:t xml:space="preserve"> </w:t>
      </w:r>
      <w:r w:rsidR="00DD5CDD">
        <w:rPr>
          <w:rFonts w:cs="Times New Roman"/>
          <w:sz w:val="20"/>
          <w:szCs w:val="20"/>
        </w:rPr>
        <w:t xml:space="preserve">Раздела </w:t>
      </w:r>
      <w:r w:rsidR="00B35C9A">
        <w:rPr>
          <w:rFonts w:cs="Times New Roman"/>
          <w:sz w:val="20"/>
          <w:szCs w:val="20"/>
        </w:rPr>
        <w:t>2</w:t>
      </w:r>
      <w:r w:rsidR="00DD5CDD" w:rsidRPr="003D19B5">
        <w:rPr>
          <w:rFonts w:cs="Times New Roman"/>
          <w:sz w:val="20"/>
          <w:szCs w:val="20"/>
        </w:rPr>
        <w:t xml:space="preserve"> </w:t>
      </w:r>
      <w:r w:rsidR="00DD5CDD" w:rsidRPr="00AB74C0">
        <w:rPr>
          <w:rFonts w:cs="Times New Roman"/>
          <w:sz w:val="20"/>
          <w:szCs w:val="20"/>
        </w:rPr>
        <w:t>Отчета указываются значени</w:t>
      </w:r>
      <w:r>
        <w:rPr>
          <w:rFonts w:cs="Times New Roman"/>
          <w:sz w:val="20"/>
          <w:szCs w:val="20"/>
        </w:rPr>
        <w:t>я</w:t>
      </w:r>
      <w:r w:rsidR="00DD5CDD" w:rsidRPr="00AB74C0">
        <w:rPr>
          <w:rFonts w:cs="Times New Roman"/>
          <w:sz w:val="20"/>
          <w:szCs w:val="20"/>
        </w:rPr>
        <w:t xml:space="preserve"> показател</w:t>
      </w:r>
      <w:r>
        <w:rPr>
          <w:rFonts w:cs="Times New Roman"/>
          <w:sz w:val="20"/>
          <w:szCs w:val="20"/>
        </w:rPr>
        <w:t>ей</w:t>
      </w:r>
      <w:r w:rsidR="00DD5CDD" w:rsidRPr="00AB74C0">
        <w:rPr>
          <w:rFonts w:cs="Times New Roman"/>
          <w:sz w:val="20"/>
          <w:szCs w:val="20"/>
        </w:rPr>
        <w:t>, включаем</w:t>
      </w:r>
      <w:r>
        <w:rPr>
          <w:rFonts w:cs="Times New Roman"/>
          <w:sz w:val="20"/>
          <w:szCs w:val="20"/>
        </w:rPr>
        <w:t>ые</w:t>
      </w:r>
      <w:r w:rsidR="00DD5CDD" w:rsidRPr="00AB74C0">
        <w:rPr>
          <w:rFonts w:cs="Times New Roman"/>
          <w:sz w:val="20"/>
          <w:szCs w:val="20"/>
        </w:rPr>
        <w:t xml:space="preserve"> в расчет показателя </w:t>
      </w:r>
      <w:r w:rsidR="00DD5CDD">
        <w:rPr>
          <w:rFonts w:cs="Times New Roman"/>
          <w:sz w:val="20"/>
          <w:szCs w:val="20"/>
        </w:rPr>
        <w:t>достаточности капитала</w:t>
      </w:r>
      <w:r w:rsidR="00DD5CDD" w:rsidRPr="00AB74C0">
        <w:rPr>
          <w:rFonts w:cs="Times New Roman"/>
          <w:sz w:val="20"/>
          <w:szCs w:val="20"/>
        </w:rPr>
        <w:t xml:space="preserve"> в соответствии с требованиями </w:t>
      </w:r>
      <w:r w:rsidR="00DD5CDD">
        <w:rPr>
          <w:rFonts w:cs="Times New Roman"/>
          <w:sz w:val="20"/>
          <w:szCs w:val="20"/>
        </w:rPr>
        <w:t>Указания</w:t>
      </w:r>
      <w:r w:rsidR="00DD5CDD" w:rsidRPr="00AB74C0">
        <w:rPr>
          <w:rFonts w:cs="Times New Roman"/>
          <w:sz w:val="20"/>
          <w:szCs w:val="20"/>
        </w:rPr>
        <w:t xml:space="preserve"> Банка России №</w:t>
      </w:r>
      <w:r w:rsidR="00617851">
        <w:rPr>
          <w:rFonts w:cs="Times New Roman"/>
          <w:sz w:val="20"/>
          <w:szCs w:val="20"/>
        </w:rPr>
        <w:t> </w:t>
      </w:r>
      <w:r w:rsidR="00DD5CDD" w:rsidRPr="00E25B79">
        <w:rPr>
          <w:rFonts w:cs="Times New Roman"/>
          <w:sz w:val="20"/>
          <w:szCs w:val="20"/>
        </w:rPr>
        <w:t>ХХХ</w:t>
      </w:r>
      <w:r w:rsidR="00617851">
        <w:rPr>
          <w:rFonts w:cs="Times New Roman"/>
          <w:sz w:val="20"/>
          <w:szCs w:val="20"/>
        </w:rPr>
        <w:noBreakHyphen/>
      </w:r>
      <w:r w:rsidR="00DD5CDD">
        <w:rPr>
          <w:rFonts w:cs="Times New Roman"/>
          <w:sz w:val="20"/>
          <w:szCs w:val="20"/>
        </w:rPr>
        <w:t>У</w:t>
      </w:r>
      <w:r>
        <w:rPr>
          <w:rFonts w:cs="Times New Roman"/>
          <w:sz w:val="20"/>
          <w:szCs w:val="20"/>
        </w:rPr>
        <w:t>.</w:t>
      </w:r>
    </w:p>
    <w:p w:rsidR="00617851" w:rsidRDefault="00617851" w:rsidP="003F3EC5">
      <w:pPr>
        <w:autoSpaceDE w:val="0"/>
        <w:autoSpaceDN w:val="0"/>
        <w:adjustRightInd w:val="0"/>
        <w:spacing w:after="0"/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 графе 2 подраздела 3.1 раздела 3 указывается одно из следующих значений:</w:t>
      </w:r>
    </w:p>
    <w:p w:rsidR="00617851" w:rsidRPr="00911525" w:rsidRDefault="00617851" w:rsidP="00617851">
      <w:pPr>
        <w:ind w:firstLine="0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«</w:t>
      </w:r>
      <w:r w:rsidRPr="00911525">
        <w:rPr>
          <w:rFonts w:cs="Times New Roman"/>
          <w:sz w:val="20"/>
          <w:szCs w:val="20"/>
        </w:rPr>
        <w:t xml:space="preserve">Денежные средства на расчетных счетах (в том числе транзитных, номинальных счетах и </w:t>
      </w:r>
      <w:proofErr w:type="spellStart"/>
      <w:r w:rsidRPr="00911525">
        <w:rPr>
          <w:rFonts w:cs="Times New Roman"/>
          <w:sz w:val="20"/>
          <w:szCs w:val="20"/>
        </w:rPr>
        <w:t>т.д</w:t>
      </w:r>
      <w:proofErr w:type="spellEnd"/>
      <w:r w:rsidRPr="00911525">
        <w:rPr>
          <w:rFonts w:cs="Times New Roman"/>
          <w:sz w:val="20"/>
          <w:szCs w:val="20"/>
        </w:rPr>
        <w:t>)</w:t>
      </w:r>
      <w:r>
        <w:rPr>
          <w:rFonts w:cs="Times New Roman"/>
          <w:sz w:val="20"/>
          <w:szCs w:val="20"/>
        </w:rPr>
        <w:t>»;</w:t>
      </w:r>
    </w:p>
    <w:p w:rsidR="00617851" w:rsidRPr="00911525" w:rsidRDefault="00617851" w:rsidP="00617851">
      <w:pPr>
        <w:ind w:firstLine="0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«</w:t>
      </w:r>
      <w:r w:rsidRPr="00911525">
        <w:rPr>
          <w:rFonts w:cs="Times New Roman"/>
          <w:sz w:val="20"/>
          <w:szCs w:val="20"/>
        </w:rPr>
        <w:t>Денежные средства, переданные по договору о брокерском обслуживании</w:t>
      </w:r>
      <w:r>
        <w:rPr>
          <w:rFonts w:cs="Times New Roman"/>
          <w:sz w:val="20"/>
          <w:szCs w:val="20"/>
        </w:rPr>
        <w:t>»;</w:t>
      </w:r>
    </w:p>
    <w:p w:rsidR="00617851" w:rsidRPr="00911525" w:rsidRDefault="00617851" w:rsidP="00617851">
      <w:pPr>
        <w:ind w:firstLine="0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«</w:t>
      </w:r>
      <w:r w:rsidRPr="00911525">
        <w:rPr>
          <w:rFonts w:cs="Times New Roman"/>
          <w:sz w:val="20"/>
          <w:szCs w:val="20"/>
        </w:rPr>
        <w:t>Денежные средства, переданные по договору доверительного управления</w:t>
      </w:r>
      <w:r>
        <w:rPr>
          <w:rFonts w:cs="Times New Roman"/>
          <w:sz w:val="20"/>
          <w:szCs w:val="20"/>
        </w:rPr>
        <w:t>»;</w:t>
      </w:r>
    </w:p>
    <w:p w:rsidR="00617851" w:rsidRPr="00911525" w:rsidRDefault="00617851" w:rsidP="00617851">
      <w:pPr>
        <w:ind w:firstLine="0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«</w:t>
      </w:r>
      <w:r w:rsidRPr="00911525">
        <w:rPr>
          <w:rFonts w:cs="Times New Roman"/>
          <w:sz w:val="20"/>
          <w:szCs w:val="20"/>
        </w:rPr>
        <w:t>Требования по поставке (уплате) денежных средств</w:t>
      </w:r>
      <w:r>
        <w:rPr>
          <w:rFonts w:cs="Times New Roman"/>
          <w:sz w:val="20"/>
          <w:szCs w:val="20"/>
        </w:rPr>
        <w:t>»;</w:t>
      </w:r>
    </w:p>
    <w:p w:rsidR="00617851" w:rsidRPr="00911525" w:rsidRDefault="00617851" w:rsidP="00617851">
      <w:pPr>
        <w:ind w:firstLine="0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«</w:t>
      </w:r>
      <w:r w:rsidRPr="00911525">
        <w:rPr>
          <w:rFonts w:cs="Times New Roman"/>
          <w:sz w:val="20"/>
          <w:szCs w:val="20"/>
        </w:rPr>
        <w:t>Требования по поставке (уплате) финансовых инструментов</w:t>
      </w:r>
      <w:r>
        <w:rPr>
          <w:rFonts w:cs="Times New Roman"/>
          <w:sz w:val="20"/>
          <w:szCs w:val="20"/>
        </w:rPr>
        <w:t>»;</w:t>
      </w:r>
    </w:p>
    <w:p w:rsidR="00617851" w:rsidRPr="00911525" w:rsidRDefault="00617851" w:rsidP="00617851">
      <w:pPr>
        <w:ind w:firstLine="0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«</w:t>
      </w:r>
      <w:r w:rsidRPr="00911525">
        <w:rPr>
          <w:rFonts w:cs="Times New Roman"/>
          <w:sz w:val="20"/>
          <w:szCs w:val="20"/>
        </w:rPr>
        <w:t>Требования по получению начисленных (накопленных) процентов</w:t>
      </w:r>
      <w:r>
        <w:rPr>
          <w:rFonts w:cs="Times New Roman"/>
          <w:sz w:val="20"/>
          <w:szCs w:val="20"/>
        </w:rPr>
        <w:t>»;</w:t>
      </w:r>
    </w:p>
    <w:p w:rsidR="00617851" w:rsidRPr="00911525" w:rsidRDefault="00617851" w:rsidP="00617851">
      <w:pPr>
        <w:ind w:firstLine="0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«</w:t>
      </w:r>
      <w:r w:rsidRPr="00911525">
        <w:rPr>
          <w:rFonts w:cs="Times New Roman"/>
          <w:sz w:val="20"/>
          <w:szCs w:val="20"/>
        </w:rPr>
        <w:t xml:space="preserve">Требования по сделкам обратного </w:t>
      </w:r>
      <w:proofErr w:type="spellStart"/>
      <w:r w:rsidRPr="00911525">
        <w:rPr>
          <w:rFonts w:cs="Times New Roman"/>
          <w:sz w:val="20"/>
          <w:szCs w:val="20"/>
        </w:rPr>
        <w:t>репо</w:t>
      </w:r>
      <w:proofErr w:type="spellEnd"/>
      <w:r w:rsidRPr="00911525">
        <w:rPr>
          <w:rFonts w:cs="Times New Roman"/>
          <w:sz w:val="20"/>
          <w:szCs w:val="20"/>
        </w:rPr>
        <w:t xml:space="preserve"> (займа) (требования по получению денежных средств по второй части </w:t>
      </w:r>
      <w:proofErr w:type="spellStart"/>
      <w:r w:rsidRPr="00911525">
        <w:rPr>
          <w:rFonts w:cs="Times New Roman"/>
          <w:sz w:val="20"/>
          <w:szCs w:val="20"/>
        </w:rPr>
        <w:t>репо</w:t>
      </w:r>
      <w:proofErr w:type="spellEnd"/>
      <w:r w:rsidRPr="00911525">
        <w:rPr>
          <w:rFonts w:cs="Times New Roman"/>
          <w:sz w:val="20"/>
          <w:szCs w:val="20"/>
        </w:rPr>
        <w:t>)</w:t>
      </w:r>
      <w:r>
        <w:rPr>
          <w:rFonts w:cs="Times New Roman"/>
          <w:sz w:val="20"/>
          <w:szCs w:val="20"/>
        </w:rPr>
        <w:t>»;</w:t>
      </w:r>
    </w:p>
    <w:p w:rsidR="00617851" w:rsidRPr="00911525" w:rsidRDefault="00617851" w:rsidP="00617851">
      <w:pPr>
        <w:ind w:firstLine="0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«</w:t>
      </w:r>
      <w:r w:rsidRPr="00911525">
        <w:rPr>
          <w:rFonts w:cs="Times New Roman"/>
          <w:sz w:val="20"/>
          <w:szCs w:val="20"/>
        </w:rPr>
        <w:t>Требования по маржинальному займу</w:t>
      </w:r>
      <w:r>
        <w:rPr>
          <w:rFonts w:cs="Times New Roman"/>
          <w:sz w:val="20"/>
          <w:szCs w:val="20"/>
        </w:rPr>
        <w:t>»;</w:t>
      </w:r>
    </w:p>
    <w:p w:rsidR="00617851" w:rsidRPr="00911525" w:rsidRDefault="00617851" w:rsidP="00617851">
      <w:pPr>
        <w:ind w:firstLine="0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«</w:t>
      </w:r>
      <w:r w:rsidRPr="00911525">
        <w:rPr>
          <w:rFonts w:cs="Times New Roman"/>
          <w:sz w:val="20"/>
          <w:szCs w:val="20"/>
        </w:rPr>
        <w:t>Вложения в долговые ценные бумаги</w:t>
      </w:r>
      <w:r>
        <w:rPr>
          <w:rFonts w:cs="Times New Roman"/>
          <w:sz w:val="20"/>
          <w:szCs w:val="20"/>
        </w:rPr>
        <w:t>»;</w:t>
      </w:r>
    </w:p>
    <w:p w:rsidR="00617851" w:rsidRPr="00911525" w:rsidRDefault="00617851" w:rsidP="00617851">
      <w:pPr>
        <w:ind w:firstLine="0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«</w:t>
      </w:r>
      <w:r w:rsidRPr="00911525">
        <w:rPr>
          <w:rFonts w:cs="Times New Roman"/>
          <w:sz w:val="20"/>
          <w:szCs w:val="20"/>
        </w:rPr>
        <w:t>Иные активы</w:t>
      </w:r>
      <w:r>
        <w:rPr>
          <w:rFonts w:cs="Times New Roman"/>
          <w:sz w:val="20"/>
          <w:szCs w:val="20"/>
        </w:rPr>
        <w:t>»;</w:t>
      </w:r>
    </w:p>
    <w:p w:rsidR="00617851" w:rsidRPr="00911525" w:rsidRDefault="00617851" w:rsidP="00617851">
      <w:pPr>
        <w:ind w:firstLine="0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«</w:t>
      </w:r>
      <w:r w:rsidRPr="00911525">
        <w:rPr>
          <w:rFonts w:cs="Times New Roman"/>
          <w:sz w:val="20"/>
          <w:szCs w:val="20"/>
        </w:rPr>
        <w:t>Поручительства</w:t>
      </w:r>
      <w:r>
        <w:rPr>
          <w:rFonts w:cs="Times New Roman"/>
          <w:sz w:val="20"/>
          <w:szCs w:val="20"/>
        </w:rPr>
        <w:t>»;</w:t>
      </w:r>
    </w:p>
    <w:p w:rsidR="00617851" w:rsidRPr="00911525" w:rsidRDefault="00617851" w:rsidP="00617851">
      <w:pPr>
        <w:ind w:firstLine="0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«</w:t>
      </w:r>
      <w:r w:rsidRPr="00911525">
        <w:rPr>
          <w:rFonts w:cs="Times New Roman"/>
          <w:sz w:val="20"/>
          <w:szCs w:val="20"/>
        </w:rPr>
        <w:t>Вексельные поручительства (аваль)</w:t>
      </w:r>
      <w:r>
        <w:rPr>
          <w:rFonts w:cs="Times New Roman"/>
          <w:sz w:val="20"/>
          <w:szCs w:val="20"/>
        </w:rPr>
        <w:t>»;</w:t>
      </w:r>
    </w:p>
    <w:p w:rsidR="00617851" w:rsidRPr="00911525" w:rsidRDefault="00617851" w:rsidP="00617851">
      <w:pPr>
        <w:ind w:firstLine="0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«</w:t>
      </w:r>
      <w:r w:rsidRPr="00911525">
        <w:rPr>
          <w:rFonts w:cs="Times New Roman"/>
          <w:sz w:val="20"/>
          <w:szCs w:val="20"/>
        </w:rPr>
        <w:t>Индоссамент векселей</w:t>
      </w:r>
      <w:r>
        <w:rPr>
          <w:rFonts w:cs="Times New Roman"/>
          <w:sz w:val="20"/>
          <w:szCs w:val="20"/>
        </w:rPr>
        <w:t>»;</w:t>
      </w:r>
    </w:p>
    <w:p w:rsidR="00617851" w:rsidRPr="00911525" w:rsidRDefault="00617851" w:rsidP="00617851">
      <w:pPr>
        <w:ind w:firstLine="0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- «</w:t>
      </w:r>
      <w:r w:rsidRPr="00911525">
        <w:rPr>
          <w:rFonts w:cs="Times New Roman"/>
          <w:sz w:val="20"/>
          <w:szCs w:val="20"/>
        </w:rPr>
        <w:t>Обязательства профессионального участника рынка ценных бумаг, в случае неисполнения (ненадлежащего исполнения) должником требования, ранее уступленного профессиональным участником рынка ценных бумаг новому кредитору, если профессиональный участник принял на себя поручительство за должника перед новым кредитором</w:t>
      </w:r>
      <w:r>
        <w:rPr>
          <w:rFonts w:cs="Times New Roman"/>
          <w:sz w:val="20"/>
          <w:szCs w:val="20"/>
        </w:rPr>
        <w:t>»;</w:t>
      </w:r>
    </w:p>
    <w:p w:rsidR="00617851" w:rsidRPr="00911525" w:rsidRDefault="00617851" w:rsidP="00617851">
      <w:pPr>
        <w:ind w:firstLine="0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«</w:t>
      </w:r>
      <w:r w:rsidRPr="00911525">
        <w:rPr>
          <w:rFonts w:cs="Times New Roman"/>
          <w:sz w:val="20"/>
          <w:szCs w:val="20"/>
        </w:rPr>
        <w:t>Обязательства профессионального участника рынка ценных бумаг, являющегося брокером, выкупить ценные бумаги эмитента, вытекающие из договора возмездного оказания услуг по размещению и (или) организации размещения ценных бумаг</w:t>
      </w:r>
      <w:r>
        <w:rPr>
          <w:rFonts w:cs="Times New Roman"/>
          <w:sz w:val="20"/>
          <w:szCs w:val="20"/>
        </w:rPr>
        <w:t>»;</w:t>
      </w:r>
    </w:p>
    <w:p w:rsidR="00617851" w:rsidRDefault="00617851" w:rsidP="00617851">
      <w:pPr>
        <w:ind w:firstLine="0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«</w:t>
      </w:r>
      <w:r w:rsidRPr="00911525">
        <w:rPr>
          <w:rFonts w:cs="Times New Roman"/>
          <w:sz w:val="20"/>
          <w:szCs w:val="20"/>
        </w:rPr>
        <w:t>Иные условные обязательства кредитного характера</w:t>
      </w:r>
      <w:r>
        <w:rPr>
          <w:rFonts w:cs="Times New Roman"/>
          <w:sz w:val="20"/>
          <w:szCs w:val="20"/>
        </w:rPr>
        <w:t>».</w:t>
      </w:r>
    </w:p>
    <w:p w:rsidR="009311D9" w:rsidRDefault="009311D9" w:rsidP="003F3EC5">
      <w:pPr>
        <w:ind w:firstLine="426"/>
        <w:contextualSpacing/>
        <w:rPr>
          <w:rFonts w:cs="Times New Roman"/>
          <w:sz w:val="20"/>
          <w:szCs w:val="20"/>
        </w:rPr>
      </w:pPr>
    </w:p>
    <w:p w:rsidR="00FF2F65" w:rsidRPr="00D4265E" w:rsidRDefault="009311D9" w:rsidP="00D4265E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В графе 2 </w:t>
      </w:r>
      <w:r w:rsidR="00CC5250">
        <w:rPr>
          <w:rFonts w:cs="Times New Roman"/>
          <w:sz w:val="20"/>
          <w:szCs w:val="20"/>
        </w:rPr>
        <w:t xml:space="preserve">подраздела 3.2 раздела 3 и графе 2 подраздела 3.3 раздела 3 </w:t>
      </w:r>
      <w:r w:rsidR="00BB5395">
        <w:rPr>
          <w:rFonts w:cs="Times New Roman"/>
          <w:sz w:val="20"/>
          <w:szCs w:val="20"/>
        </w:rPr>
        <w:t xml:space="preserve">указывается </w:t>
      </w:r>
      <w:r w:rsidR="00FF2F65">
        <w:rPr>
          <w:rFonts w:cs="Times New Roman"/>
          <w:sz w:val="20"/>
          <w:szCs w:val="20"/>
        </w:rPr>
        <w:t>значение</w:t>
      </w:r>
      <w:r w:rsidR="00D4265E">
        <w:rPr>
          <w:rFonts w:cs="Times New Roman"/>
          <w:sz w:val="20"/>
          <w:szCs w:val="20"/>
        </w:rPr>
        <w:t>, присвоенное активу</w:t>
      </w:r>
      <w:r w:rsidR="00FF2F65">
        <w:rPr>
          <w:rFonts w:cs="Times New Roman"/>
          <w:sz w:val="20"/>
          <w:szCs w:val="20"/>
        </w:rPr>
        <w:t xml:space="preserve"> в графе 1</w:t>
      </w:r>
      <w:r w:rsidR="00BB5395">
        <w:rPr>
          <w:rFonts w:cs="Times New Roman"/>
          <w:sz w:val="20"/>
          <w:szCs w:val="20"/>
        </w:rPr>
        <w:t xml:space="preserve"> </w:t>
      </w:r>
      <w:r w:rsidR="00FF2F65">
        <w:rPr>
          <w:rFonts w:cs="Times New Roman"/>
          <w:sz w:val="20"/>
          <w:szCs w:val="20"/>
        </w:rPr>
        <w:t>подраздел</w:t>
      </w:r>
      <w:r w:rsidR="00796FA6">
        <w:rPr>
          <w:rFonts w:cs="Times New Roman"/>
          <w:sz w:val="20"/>
          <w:szCs w:val="20"/>
        </w:rPr>
        <w:t>а</w:t>
      </w:r>
      <w:r w:rsidR="00D4265E">
        <w:rPr>
          <w:rFonts w:cs="Times New Roman"/>
          <w:sz w:val="20"/>
          <w:szCs w:val="20"/>
        </w:rPr>
        <w:t xml:space="preserve"> 3.1 раздела 1.</w:t>
      </w:r>
    </w:p>
    <w:p w:rsidR="009311D9" w:rsidRDefault="00617851" w:rsidP="00796FA6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 графе 3 подраздела 3.2 раздела 3 указывает</w:t>
      </w:r>
      <w:r w:rsidR="003F3EC5">
        <w:rPr>
          <w:rFonts w:cs="Times New Roman"/>
          <w:sz w:val="20"/>
          <w:szCs w:val="20"/>
        </w:rPr>
        <w:t>ся значение «Требование» или «Обязательство»</w:t>
      </w:r>
      <w:r w:rsidR="00796FA6">
        <w:rPr>
          <w:rFonts w:cs="Times New Roman"/>
          <w:sz w:val="20"/>
          <w:szCs w:val="20"/>
        </w:rPr>
        <w:t xml:space="preserve"> по финансовым договорам, включенным в соглашение о неттинге в отношении актива.</w:t>
      </w:r>
    </w:p>
    <w:p w:rsidR="003F3EC5" w:rsidRDefault="003F3EC5" w:rsidP="003F3EC5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 графе 3 подраздела 3.3 раздела 3 указывается одно из следующих значений:</w:t>
      </w:r>
    </w:p>
    <w:p w:rsidR="003F3EC5" w:rsidRDefault="003F3EC5" w:rsidP="003F3EC5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- «денежные средства в рублях»;</w:t>
      </w:r>
    </w:p>
    <w:p w:rsidR="003F3EC5" w:rsidRDefault="003F3EC5" w:rsidP="003F3EC5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«денежные средства в иностранной валюте»;</w:t>
      </w:r>
    </w:p>
    <w:p w:rsidR="003F3EC5" w:rsidRDefault="003F3EC5" w:rsidP="003F3EC5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«ценные бумаги».</w:t>
      </w:r>
    </w:p>
    <w:p w:rsidR="00796FA6" w:rsidRDefault="00796FA6" w:rsidP="00796FA6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Графы подраздела 3.3 раздела 3 заполняются в зависимости от вида обеспечения, указанного в графе 3 подраздела 3.3 раздела 3.</w:t>
      </w:r>
    </w:p>
    <w:p w:rsidR="003F3EC5" w:rsidRDefault="009311D9" w:rsidP="003F3EC5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В случае если в графе 3 подраздела 3.3 раздела 3 в качестве обеспечения актива указано значение «денежные средства в рублях», то в </w:t>
      </w:r>
      <w:r w:rsidR="00796FA6">
        <w:rPr>
          <w:rFonts w:cs="Times New Roman"/>
          <w:sz w:val="20"/>
          <w:szCs w:val="20"/>
        </w:rPr>
        <w:t>подразделе 3.3 раздела 3 заполняются графы 1, 2, 3 и 11.</w:t>
      </w:r>
    </w:p>
    <w:p w:rsidR="00796FA6" w:rsidRDefault="00796FA6" w:rsidP="00796FA6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 случае если в графе 3 подраздела 3.3 раздела 3 в качестве обеспечения актива указано значение «денежные средства в иностранной валюте», то в подразделе 3.3 раздела 3 заполняются графы 1 – 3 и 9 – 11.</w:t>
      </w:r>
    </w:p>
    <w:p w:rsidR="002A0DD2" w:rsidRDefault="00796FA6" w:rsidP="002A0DD2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 случае если в графе 3 подраздела 3.3 раздела 3 в качестве обеспечения актива указано значение «ценн</w:t>
      </w:r>
      <w:r w:rsidR="002A0DD2">
        <w:rPr>
          <w:rFonts w:cs="Times New Roman"/>
          <w:sz w:val="20"/>
          <w:szCs w:val="20"/>
        </w:rPr>
        <w:t>ые</w:t>
      </w:r>
      <w:r>
        <w:rPr>
          <w:rFonts w:cs="Times New Roman"/>
          <w:sz w:val="20"/>
          <w:szCs w:val="20"/>
        </w:rPr>
        <w:t xml:space="preserve"> бумаг</w:t>
      </w:r>
      <w:r w:rsidR="002A0DD2">
        <w:rPr>
          <w:rFonts w:cs="Times New Roman"/>
          <w:sz w:val="20"/>
          <w:szCs w:val="20"/>
        </w:rPr>
        <w:t>и</w:t>
      </w:r>
      <w:r>
        <w:rPr>
          <w:rFonts w:cs="Times New Roman"/>
          <w:sz w:val="20"/>
          <w:szCs w:val="20"/>
        </w:rPr>
        <w:t>», то в подразделе 3.3 раздела 3 заполняются графы 1</w:t>
      </w:r>
      <w:r w:rsidR="002A0DD2">
        <w:rPr>
          <w:rFonts w:cs="Times New Roman"/>
          <w:sz w:val="20"/>
          <w:szCs w:val="20"/>
        </w:rPr>
        <w:t xml:space="preserve"> – 8, 10 </w:t>
      </w:r>
      <w:r>
        <w:rPr>
          <w:rFonts w:cs="Times New Roman"/>
          <w:sz w:val="20"/>
          <w:szCs w:val="20"/>
        </w:rPr>
        <w:t>и 11.</w:t>
      </w:r>
    </w:p>
    <w:p w:rsidR="002A0DD2" w:rsidRPr="00E25B79" w:rsidRDefault="002A0DD2" w:rsidP="002A0DD2">
      <w:pPr>
        <w:ind w:firstLine="426"/>
        <w:contextualSpacing/>
        <w:rPr>
          <w:rFonts w:cs="Times New Roman"/>
          <w:sz w:val="20"/>
          <w:szCs w:val="20"/>
        </w:rPr>
      </w:pPr>
      <w:r w:rsidRPr="002A0DD2">
        <w:rPr>
          <w:rFonts w:cs="Times New Roman"/>
          <w:sz w:val="20"/>
          <w:szCs w:val="20"/>
        </w:rPr>
        <w:t>В графе 6 подраздела 3.3 раздела 3,</w:t>
      </w:r>
      <w:r w:rsidR="00A8147F">
        <w:rPr>
          <w:rFonts w:cs="Times New Roman"/>
          <w:sz w:val="20"/>
          <w:szCs w:val="20"/>
        </w:rPr>
        <w:t xml:space="preserve"> графе 3</w:t>
      </w:r>
      <w:r w:rsidRPr="002A0DD2">
        <w:rPr>
          <w:rFonts w:cs="Times New Roman"/>
          <w:sz w:val="20"/>
          <w:szCs w:val="20"/>
        </w:rPr>
        <w:t xml:space="preserve"> подраздела 4.2</w:t>
      </w:r>
      <w:r w:rsidR="00A8147F">
        <w:rPr>
          <w:rFonts w:cs="Times New Roman"/>
          <w:sz w:val="20"/>
          <w:szCs w:val="20"/>
        </w:rPr>
        <w:t xml:space="preserve"> и графе 17</w:t>
      </w:r>
      <w:r w:rsidRPr="002A0DD2">
        <w:rPr>
          <w:rFonts w:cs="Times New Roman"/>
          <w:sz w:val="20"/>
          <w:szCs w:val="20"/>
        </w:rPr>
        <w:t xml:space="preserve"> подраздела 4.4 раздела 4 </w:t>
      </w:r>
      <w:r w:rsidRPr="00831AE1">
        <w:rPr>
          <w:rFonts w:cs="Times New Roman"/>
          <w:sz w:val="20"/>
          <w:szCs w:val="20"/>
        </w:rPr>
        <w:t>указывается тип ценной бумаги (финансового инструмента) с использованием следующих кодов:</w:t>
      </w:r>
    </w:p>
    <w:p w:rsidR="002A0DD2" w:rsidRPr="002A0DD2" w:rsidRDefault="002A0DD2" w:rsidP="002A0DD2">
      <w:pPr>
        <w:ind w:firstLine="426"/>
        <w:contextualSpacing/>
        <w:rPr>
          <w:rFonts w:cs="Times New Roman"/>
          <w:sz w:val="20"/>
          <w:szCs w:val="20"/>
        </w:rPr>
      </w:pPr>
      <w:r w:rsidRPr="002A0DD2">
        <w:rPr>
          <w:rFonts w:cs="Times New Roman"/>
          <w:sz w:val="20"/>
          <w:szCs w:val="20"/>
        </w:rPr>
        <w:t>BON1 - облигации, эмитированные федеральными органами исполнительной власти Российской Федерации, и облигации Банка России;</w:t>
      </w:r>
    </w:p>
    <w:p w:rsidR="002A0DD2" w:rsidRPr="002A0DD2" w:rsidRDefault="002A0DD2" w:rsidP="002A0DD2">
      <w:pPr>
        <w:ind w:firstLine="426"/>
        <w:contextualSpacing/>
        <w:rPr>
          <w:rFonts w:cs="Times New Roman"/>
          <w:sz w:val="20"/>
          <w:szCs w:val="20"/>
        </w:rPr>
      </w:pPr>
      <w:r w:rsidRPr="002A0DD2">
        <w:rPr>
          <w:rFonts w:cs="Times New Roman"/>
          <w:sz w:val="20"/>
          <w:szCs w:val="20"/>
        </w:rPr>
        <w:t>BON2 - облигации, эмитированные органами исполнительной власти субъектов Российской Федерации и муниципальных образований;</w:t>
      </w:r>
    </w:p>
    <w:p w:rsidR="002A0DD2" w:rsidRPr="002A0DD2" w:rsidRDefault="002A0DD2" w:rsidP="002A0DD2">
      <w:pPr>
        <w:ind w:firstLine="426"/>
        <w:contextualSpacing/>
        <w:rPr>
          <w:rFonts w:cs="Times New Roman"/>
          <w:sz w:val="20"/>
          <w:szCs w:val="20"/>
        </w:rPr>
      </w:pPr>
      <w:r w:rsidRPr="002A0DD2">
        <w:rPr>
          <w:rFonts w:cs="Times New Roman"/>
          <w:sz w:val="20"/>
          <w:szCs w:val="20"/>
        </w:rPr>
        <w:t>BON3 - облигации кредитных организаций - резидентов;</w:t>
      </w:r>
    </w:p>
    <w:p w:rsidR="002A0DD2" w:rsidRPr="002A0DD2" w:rsidRDefault="002A0DD2" w:rsidP="002A0DD2">
      <w:pPr>
        <w:ind w:firstLine="426"/>
        <w:contextualSpacing/>
        <w:rPr>
          <w:rFonts w:cs="Times New Roman"/>
          <w:sz w:val="20"/>
          <w:szCs w:val="20"/>
        </w:rPr>
      </w:pPr>
      <w:r w:rsidRPr="002A0DD2">
        <w:rPr>
          <w:rFonts w:cs="Times New Roman"/>
          <w:sz w:val="20"/>
          <w:szCs w:val="20"/>
        </w:rPr>
        <w:t>BON4 - облигации прочих резидентов;</w:t>
      </w:r>
    </w:p>
    <w:p w:rsidR="002A0DD2" w:rsidRPr="002A0DD2" w:rsidRDefault="002A0DD2" w:rsidP="002A0DD2">
      <w:pPr>
        <w:ind w:firstLine="426"/>
        <w:contextualSpacing/>
        <w:rPr>
          <w:rFonts w:cs="Times New Roman"/>
          <w:sz w:val="20"/>
          <w:szCs w:val="20"/>
        </w:rPr>
      </w:pPr>
      <w:r w:rsidRPr="002A0DD2">
        <w:rPr>
          <w:rFonts w:cs="Times New Roman"/>
          <w:sz w:val="20"/>
          <w:szCs w:val="20"/>
        </w:rPr>
        <w:t>BON5 - облигации иностранных государств и облигации иностранных центральных банков;</w:t>
      </w:r>
    </w:p>
    <w:p w:rsidR="002A0DD2" w:rsidRPr="002A0DD2" w:rsidRDefault="002A0DD2" w:rsidP="002A0DD2">
      <w:pPr>
        <w:ind w:firstLine="426"/>
        <w:contextualSpacing/>
        <w:rPr>
          <w:rFonts w:cs="Times New Roman"/>
          <w:sz w:val="20"/>
          <w:szCs w:val="20"/>
        </w:rPr>
      </w:pPr>
      <w:r w:rsidRPr="002A0DD2">
        <w:rPr>
          <w:rFonts w:cs="Times New Roman"/>
          <w:sz w:val="20"/>
          <w:szCs w:val="20"/>
        </w:rPr>
        <w:t>BON6 - облигации банков - нерезидентов;</w:t>
      </w:r>
    </w:p>
    <w:p w:rsidR="002A0DD2" w:rsidRPr="002A0DD2" w:rsidRDefault="002A0DD2" w:rsidP="002A0DD2">
      <w:pPr>
        <w:ind w:firstLine="426"/>
        <w:contextualSpacing/>
        <w:rPr>
          <w:rFonts w:cs="Times New Roman"/>
          <w:sz w:val="20"/>
          <w:szCs w:val="20"/>
        </w:rPr>
      </w:pPr>
      <w:r w:rsidRPr="002A0DD2">
        <w:rPr>
          <w:rFonts w:cs="Times New Roman"/>
          <w:sz w:val="20"/>
          <w:szCs w:val="20"/>
        </w:rPr>
        <w:t>BON7 - облигации прочих нерезидентов;</w:t>
      </w:r>
    </w:p>
    <w:p w:rsidR="002A0DD2" w:rsidRPr="002A0DD2" w:rsidRDefault="002A0DD2" w:rsidP="002A0DD2">
      <w:pPr>
        <w:ind w:firstLine="426"/>
        <w:contextualSpacing/>
        <w:rPr>
          <w:rFonts w:cs="Times New Roman"/>
          <w:sz w:val="20"/>
          <w:szCs w:val="20"/>
        </w:rPr>
      </w:pPr>
      <w:r w:rsidRPr="002A0DD2">
        <w:rPr>
          <w:rFonts w:cs="Times New Roman"/>
          <w:sz w:val="20"/>
          <w:szCs w:val="20"/>
        </w:rPr>
        <w:t>DS1 - депозитные сертификаты кредитных организаций - резидентов;</w:t>
      </w:r>
    </w:p>
    <w:p w:rsidR="002A0DD2" w:rsidRPr="002A0DD2" w:rsidRDefault="002A0DD2" w:rsidP="002A0DD2">
      <w:pPr>
        <w:ind w:firstLine="426"/>
        <w:contextualSpacing/>
        <w:rPr>
          <w:rFonts w:cs="Times New Roman"/>
          <w:sz w:val="20"/>
          <w:szCs w:val="20"/>
        </w:rPr>
      </w:pPr>
      <w:r w:rsidRPr="002A0DD2">
        <w:rPr>
          <w:rFonts w:cs="Times New Roman"/>
          <w:sz w:val="20"/>
          <w:szCs w:val="20"/>
        </w:rPr>
        <w:t>DS2 - депозитные сертификаты банков - нерезидентов;</w:t>
      </w:r>
    </w:p>
    <w:p w:rsidR="002A0DD2" w:rsidRPr="002A0DD2" w:rsidRDefault="002A0DD2" w:rsidP="002A0DD2">
      <w:pPr>
        <w:ind w:firstLine="426"/>
        <w:contextualSpacing/>
        <w:rPr>
          <w:rFonts w:cs="Times New Roman"/>
          <w:sz w:val="20"/>
          <w:szCs w:val="20"/>
        </w:rPr>
      </w:pPr>
      <w:r w:rsidRPr="002A0DD2">
        <w:rPr>
          <w:rFonts w:cs="Times New Roman"/>
          <w:sz w:val="20"/>
          <w:szCs w:val="20"/>
        </w:rPr>
        <w:t>SS1 - сберегательные сертификаты кредитных организаций - резидентов;</w:t>
      </w:r>
    </w:p>
    <w:p w:rsidR="002A0DD2" w:rsidRPr="002A0DD2" w:rsidRDefault="002A0DD2" w:rsidP="002A0DD2">
      <w:pPr>
        <w:ind w:firstLine="426"/>
        <w:contextualSpacing/>
        <w:rPr>
          <w:rFonts w:cs="Times New Roman"/>
          <w:sz w:val="20"/>
          <w:szCs w:val="20"/>
        </w:rPr>
      </w:pPr>
      <w:r w:rsidRPr="002A0DD2">
        <w:rPr>
          <w:rFonts w:cs="Times New Roman"/>
          <w:sz w:val="20"/>
          <w:szCs w:val="20"/>
        </w:rPr>
        <w:t>SS2 - сберегательные сертификаты банков - нерезидентов;</w:t>
      </w:r>
    </w:p>
    <w:p w:rsidR="002A0DD2" w:rsidRPr="002A0DD2" w:rsidRDefault="002A0DD2" w:rsidP="002A0DD2">
      <w:pPr>
        <w:ind w:firstLine="426"/>
        <w:contextualSpacing/>
        <w:rPr>
          <w:rFonts w:cs="Times New Roman"/>
          <w:sz w:val="20"/>
          <w:szCs w:val="20"/>
        </w:rPr>
      </w:pPr>
      <w:r w:rsidRPr="002A0DD2">
        <w:rPr>
          <w:rFonts w:cs="Times New Roman"/>
          <w:sz w:val="20"/>
          <w:szCs w:val="20"/>
        </w:rPr>
        <w:t>SHS1 - акции кредитных организаций - резидентов (обыкновенные);</w:t>
      </w:r>
    </w:p>
    <w:p w:rsidR="002A0DD2" w:rsidRPr="002A0DD2" w:rsidRDefault="002A0DD2" w:rsidP="002A0DD2">
      <w:pPr>
        <w:ind w:firstLine="426"/>
        <w:contextualSpacing/>
        <w:rPr>
          <w:rFonts w:cs="Times New Roman"/>
          <w:sz w:val="20"/>
          <w:szCs w:val="20"/>
        </w:rPr>
      </w:pPr>
      <w:r w:rsidRPr="002A0DD2">
        <w:rPr>
          <w:rFonts w:cs="Times New Roman"/>
          <w:sz w:val="20"/>
          <w:szCs w:val="20"/>
        </w:rPr>
        <w:t>SHS2 - акции кредитных организаций - резидентов (привилегированные);</w:t>
      </w:r>
    </w:p>
    <w:p w:rsidR="002A0DD2" w:rsidRPr="002A0DD2" w:rsidRDefault="002A0DD2" w:rsidP="002A0DD2">
      <w:pPr>
        <w:ind w:firstLine="426"/>
        <w:contextualSpacing/>
        <w:rPr>
          <w:rFonts w:cs="Times New Roman"/>
          <w:sz w:val="20"/>
          <w:szCs w:val="20"/>
        </w:rPr>
      </w:pPr>
      <w:r w:rsidRPr="002A0DD2">
        <w:rPr>
          <w:rFonts w:cs="Times New Roman"/>
          <w:sz w:val="20"/>
          <w:szCs w:val="20"/>
        </w:rPr>
        <w:lastRenderedPageBreak/>
        <w:t>SHS3 - акции прочих резидентов (обыкновенные);</w:t>
      </w:r>
    </w:p>
    <w:p w:rsidR="002A0DD2" w:rsidRPr="002A0DD2" w:rsidRDefault="002A0DD2" w:rsidP="002A0DD2">
      <w:pPr>
        <w:ind w:firstLine="426"/>
        <w:contextualSpacing/>
        <w:rPr>
          <w:rFonts w:cs="Times New Roman"/>
          <w:sz w:val="20"/>
          <w:szCs w:val="20"/>
        </w:rPr>
      </w:pPr>
      <w:r w:rsidRPr="002A0DD2">
        <w:rPr>
          <w:rFonts w:cs="Times New Roman"/>
          <w:sz w:val="20"/>
          <w:szCs w:val="20"/>
        </w:rPr>
        <w:t>SHS4 - акции прочих резидентов (привилегированные);</w:t>
      </w:r>
    </w:p>
    <w:p w:rsidR="002A0DD2" w:rsidRPr="002A0DD2" w:rsidRDefault="002A0DD2" w:rsidP="002A0DD2">
      <w:pPr>
        <w:ind w:firstLine="426"/>
        <w:contextualSpacing/>
        <w:rPr>
          <w:rFonts w:cs="Times New Roman"/>
          <w:sz w:val="20"/>
          <w:szCs w:val="20"/>
        </w:rPr>
      </w:pPr>
      <w:r w:rsidRPr="002A0DD2">
        <w:rPr>
          <w:rFonts w:cs="Times New Roman"/>
          <w:sz w:val="20"/>
          <w:szCs w:val="20"/>
        </w:rPr>
        <w:t>SHS5 - акции банков - нерезидентов;</w:t>
      </w:r>
    </w:p>
    <w:p w:rsidR="002A0DD2" w:rsidRPr="002A0DD2" w:rsidRDefault="002A0DD2" w:rsidP="002A0DD2">
      <w:pPr>
        <w:ind w:firstLine="426"/>
        <w:contextualSpacing/>
        <w:rPr>
          <w:rFonts w:cs="Times New Roman"/>
          <w:sz w:val="20"/>
          <w:szCs w:val="20"/>
        </w:rPr>
      </w:pPr>
      <w:r w:rsidRPr="002A0DD2">
        <w:rPr>
          <w:rFonts w:cs="Times New Roman"/>
          <w:sz w:val="20"/>
          <w:szCs w:val="20"/>
        </w:rPr>
        <w:t>SHS6 - акции прочих нерезидентов;</w:t>
      </w:r>
    </w:p>
    <w:p w:rsidR="002A0DD2" w:rsidRPr="002A0DD2" w:rsidRDefault="002A0DD2" w:rsidP="002A0DD2">
      <w:pPr>
        <w:ind w:firstLine="426"/>
        <w:contextualSpacing/>
        <w:rPr>
          <w:rFonts w:cs="Times New Roman"/>
          <w:sz w:val="20"/>
          <w:szCs w:val="20"/>
        </w:rPr>
      </w:pPr>
      <w:r w:rsidRPr="002A0DD2">
        <w:rPr>
          <w:rFonts w:cs="Times New Roman"/>
          <w:sz w:val="20"/>
          <w:szCs w:val="20"/>
        </w:rPr>
        <w:t>SHS7 - паи, доли инвестиционных фондов - нерезидентов;</w:t>
      </w:r>
    </w:p>
    <w:p w:rsidR="002A0DD2" w:rsidRPr="002A0DD2" w:rsidRDefault="002A0DD2" w:rsidP="002A0DD2">
      <w:pPr>
        <w:ind w:firstLine="426"/>
        <w:contextualSpacing/>
        <w:rPr>
          <w:rFonts w:cs="Times New Roman"/>
          <w:sz w:val="20"/>
          <w:szCs w:val="20"/>
        </w:rPr>
      </w:pPr>
      <w:r w:rsidRPr="002A0DD2">
        <w:rPr>
          <w:rFonts w:cs="Times New Roman"/>
          <w:sz w:val="20"/>
          <w:szCs w:val="20"/>
        </w:rPr>
        <w:t>SHS8 - паи, доли инвестиционных фондов - резидентов;</w:t>
      </w:r>
    </w:p>
    <w:p w:rsidR="002A0DD2" w:rsidRPr="002A0DD2" w:rsidRDefault="002A0DD2" w:rsidP="002A0DD2">
      <w:pPr>
        <w:ind w:firstLine="426"/>
        <w:contextualSpacing/>
        <w:rPr>
          <w:rFonts w:cs="Times New Roman"/>
          <w:sz w:val="20"/>
          <w:szCs w:val="20"/>
        </w:rPr>
      </w:pPr>
      <w:r w:rsidRPr="002A0DD2">
        <w:rPr>
          <w:rFonts w:cs="Times New Roman"/>
          <w:sz w:val="20"/>
          <w:szCs w:val="20"/>
        </w:rPr>
        <w:t>BIL1 - векселя федеральных органов исполнительной власти Российской Федерации;</w:t>
      </w:r>
    </w:p>
    <w:p w:rsidR="002A0DD2" w:rsidRPr="002A0DD2" w:rsidRDefault="002A0DD2" w:rsidP="002A0DD2">
      <w:pPr>
        <w:ind w:firstLine="426"/>
        <w:contextualSpacing/>
        <w:rPr>
          <w:rFonts w:cs="Times New Roman"/>
          <w:sz w:val="20"/>
          <w:szCs w:val="20"/>
        </w:rPr>
      </w:pPr>
      <w:r w:rsidRPr="002A0DD2">
        <w:rPr>
          <w:rFonts w:cs="Times New Roman"/>
          <w:sz w:val="20"/>
          <w:szCs w:val="20"/>
        </w:rPr>
        <w:t>BIL2 - векселя органов исполнительной власти субъектов Российской Федерации и муниципальных образований;</w:t>
      </w:r>
    </w:p>
    <w:p w:rsidR="002A0DD2" w:rsidRPr="002A0DD2" w:rsidRDefault="002A0DD2" w:rsidP="002A0DD2">
      <w:pPr>
        <w:ind w:firstLine="426"/>
        <w:contextualSpacing/>
        <w:rPr>
          <w:rFonts w:cs="Times New Roman"/>
          <w:sz w:val="20"/>
          <w:szCs w:val="20"/>
        </w:rPr>
      </w:pPr>
      <w:r w:rsidRPr="002A0DD2">
        <w:rPr>
          <w:rFonts w:cs="Times New Roman"/>
          <w:sz w:val="20"/>
          <w:szCs w:val="20"/>
        </w:rPr>
        <w:t>BIL3 - векселя кредитных организаций - резидентов;</w:t>
      </w:r>
    </w:p>
    <w:p w:rsidR="002A0DD2" w:rsidRPr="002A0DD2" w:rsidRDefault="002A0DD2" w:rsidP="002A0DD2">
      <w:pPr>
        <w:ind w:firstLine="426"/>
        <w:contextualSpacing/>
        <w:rPr>
          <w:rFonts w:cs="Times New Roman"/>
          <w:sz w:val="20"/>
          <w:szCs w:val="20"/>
        </w:rPr>
      </w:pPr>
      <w:r w:rsidRPr="002A0DD2">
        <w:rPr>
          <w:rFonts w:cs="Times New Roman"/>
          <w:sz w:val="20"/>
          <w:szCs w:val="20"/>
        </w:rPr>
        <w:t>BIL4 - векселя прочих резидентов;</w:t>
      </w:r>
    </w:p>
    <w:p w:rsidR="002A0DD2" w:rsidRPr="002A0DD2" w:rsidRDefault="002A0DD2" w:rsidP="002A0DD2">
      <w:pPr>
        <w:ind w:firstLine="426"/>
        <w:contextualSpacing/>
        <w:rPr>
          <w:rFonts w:cs="Times New Roman"/>
          <w:sz w:val="20"/>
          <w:szCs w:val="20"/>
        </w:rPr>
      </w:pPr>
      <w:r w:rsidRPr="002A0DD2">
        <w:rPr>
          <w:rFonts w:cs="Times New Roman"/>
          <w:sz w:val="20"/>
          <w:szCs w:val="20"/>
        </w:rPr>
        <w:t>BIL5 - векселя иностранного государства;</w:t>
      </w:r>
    </w:p>
    <w:p w:rsidR="002A0DD2" w:rsidRPr="002A0DD2" w:rsidRDefault="002A0DD2" w:rsidP="002A0DD2">
      <w:pPr>
        <w:ind w:firstLine="426"/>
        <w:contextualSpacing/>
        <w:rPr>
          <w:rFonts w:cs="Times New Roman"/>
          <w:sz w:val="20"/>
          <w:szCs w:val="20"/>
        </w:rPr>
      </w:pPr>
      <w:r w:rsidRPr="002A0DD2">
        <w:rPr>
          <w:rFonts w:cs="Times New Roman"/>
          <w:sz w:val="20"/>
          <w:szCs w:val="20"/>
        </w:rPr>
        <w:t>BIL6 - векселя банков - нерезидентов;</w:t>
      </w:r>
    </w:p>
    <w:p w:rsidR="002A0DD2" w:rsidRPr="002A0DD2" w:rsidRDefault="002A0DD2" w:rsidP="002A0DD2">
      <w:pPr>
        <w:ind w:firstLine="426"/>
        <w:contextualSpacing/>
        <w:rPr>
          <w:rFonts w:cs="Times New Roman"/>
          <w:sz w:val="20"/>
          <w:szCs w:val="20"/>
        </w:rPr>
      </w:pPr>
      <w:r w:rsidRPr="002A0DD2">
        <w:rPr>
          <w:rFonts w:cs="Times New Roman"/>
          <w:sz w:val="20"/>
          <w:szCs w:val="20"/>
        </w:rPr>
        <w:t>BIL7 - векселя прочих нерезидентов;</w:t>
      </w:r>
    </w:p>
    <w:p w:rsidR="002A0DD2" w:rsidRPr="002A0DD2" w:rsidRDefault="002A0DD2" w:rsidP="002A0DD2">
      <w:pPr>
        <w:ind w:firstLine="426"/>
        <w:contextualSpacing/>
        <w:rPr>
          <w:rFonts w:cs="Times New Roman"/>
          <w:sz w:val="20"/>
          <w:szCs w:val="20"/>
        </w:rPr>
      </w:pPr>
      <w:r w:rsidRPr="002A0DD2">
        <w:rPr>
          <w:rFonts w:cs="Times New Roman"/>
          <w:sz w:val="20"/>
          <w:szCs w:val="20"/>
        </w:rPr>
        <w:t>DR - депозитарные расписки;</w:t>
      </w:r>
    </w:p>
    <w:p w:rsidR="002A0DD2" w:rsidRPr="002A0DD2" w:rsidRDefault="002A0DD2" w:rsidP="002A0DD2">
      <w:pPr>
        <w:ind w:firstLine="426"/>
        <w:contextualSpacing/>
        <w:rPr>
          <w:rFonts w:cs="Times New Roman"/>
          <w:sz w:val="20"/>
          <w:szCs w:val="20"/>
        </w:rPr>
      </w:pPr>
      <w:r w:rsidRPr="002A0DD2">
        <w:rPr>
          <w:rFonts w:cs="Times New Roman"/>
          <w:sz w:val="20"/>
          <w:szCs w:val="20"/>
        </w:rPr>
        <w:t>CON - складское свидетельство;</w:t>
      </w:r>
    </w:p>
    <w:p w:rsidR="002A0DD2" w:rsidRPr="002A0DD2" w:rsidRDefault="002A0DD2" w:rsidP="002A0DD2">
      <w:pPr>
        <w:ind w:firstLine="426"/>
        <w:contextualSpacing/>
        <w:rPr>
          <w:rFonts w:cs="Times New Roman"/>
          <w:sz w:val="20"/>
          <w:szCs w:val="20"/>
        </w:rPr>
      </w:pPr>
      <w:r w:rsidRPr="002A0DD2">
        <w:rPr>
          <w:rFonts w:cs="Times New Roman"/>
          <w:sz w:val="20"/>
          <w:szCs w:val="20"/>
        </w:rPr>
        <w:t>WTS - варранты;</w:t>
      </w:r>
    </w:p>
    <w:p w:rsidR="002A0DD2" w:rsidRPr="002A0DD2" w:rsidRDefault="002A0DD2" w:rsidP="002A0DD2">
      <w:pPr>
        <w:ind w:firstLine="426"/>
        <w:contextualSpacing/>
        <w:rPr>
          <w:rFonts w:cs="Times New Roman"/>
          <w:sz w:val="20"/>
          <w:szCs w:val="20"/>
        </w:rPr>
      </w:pPr>
      <w:r w:rsidRPr="002A0DD2">
        <w:rPr>
          <w:rFonts w:cs="Times New Roman"/>
          <w:sz w:val="20"/>
          <w:szCs w:val="20"/>
        </w:rPr>
        <w:t>OPN - опционы эмитента;</w:t>
      </w:r>
    </w:p>
    <w:p w:rsidR="002A0DD2" w:rsidRPr="002A0DD2" w:rsidRDefault="002A0DD2" w:rsidP="002A0DD2">
      <w:pPr>
        <w:ind w:firstLine="426"/>
        <w:contextualSpacing/>
        <w:rPr>
          <w:rFonts w:cs="Times New Roman"/>
          <w:sz w:val="20"/>
          <w:szCs w:val="20"/>
        </w:rPr>
      </w:pPr>
      <w:r w:rsidRPr="002A0DD2">
        <w:rPr>
          <w:rFonts w:cs="Times New Roman"/>
          <w:sz w:val="20"/>
          <w:szCs w:val="20"/>
        </w:rPr>
        <w:t>ENC - закладные;</w:t>
      </w:r>
    </w:p>
    <w:p w:rsidR="002A0DD2" w:rsidRPr="002A0DD2" w:rsidRDefault="002A0DD2" w:rsidP="002A0DD2">
      <w:pPr>
        <w:ind w:firstLine="426"/>
        <w:contextualSpacing/>
        <w:rPr>
          <w:rFonts w:cs="Times New Roman"/>
          <w:sz w:val="20"/>
          <w:szCs w:val="20"/>
        </w:rPr>
      </w:pPr>
      <w:r w:rsidRPr="002A0DD2">
        <w:rPr>
          <w:rFonts w:cs="Times New Roman"/>
          <w:sz w:val="20"/>
          <w:szCs w:val="20"/>
        </w:rPr>
        <w:t>KSU - клиринговые сертификаты участия;</w:t>
      </w:r>
    </w:p>
    <w:p w:rsidR="002A0DD2" w:rsidRPr="002A0DD2" w:rsidRDefault="002A0DD2" w:rsidP="002A0DD2">
      <w:pPr>
        <w:ind w:firstLine="426"/>
        <w:contextualSpacing/>
        <w:rPr>
          <w:rFonts w:cs="Times New Roman"/>
          <w:sz w:val="20"/>
          <w:szCs w:val="20"/>
        </w:rPr>
      </w:pPr>
      <w:r w:rsidRPr="002A0DD2">
        <w:rPr>
          <w:rFonts w:cs="Times New Roman"/>
          <w:sz w:val="20"/>
          <w:szCs w:val="20"/>
        </w:rPr>
        <w:t>ISU - ипотечные сертификаты участия;</w:t>
      </w:r>
    </w:p>
    <w:p w:rsidR="002A0DD2" w:rsidRDefault="002A0DD2" w:rsidP="002A0DD2">
      <w:pPr>
        <w:ind w:firstLine="426"/>
        <w:contextualSpacing/>
        <w:rPr>
          <w:rFonts w:cs="Times New Roman"/>
          <w:sz w:val="20"/>
          <w:szCs w:val="20"/>
        </w:rPr>
      </w:pPr>
      <w:r w:rsidRPr="002A0DD2">
        <w:rPr>
          <w:rFonts w:cs="Times New Roman"/>
          <w:sz w:val="20"/>
          <w:szCs w:val="20"/>
        </w:rPr>
        <w:t>OTHER - иное (в том числе иностранные финансовые инструменты, не квалифицированные в качестве ценных бумаг).</w:t>
      </w:r>
    </w:p>
    <w:p w:rsidR="00AD1D7B" w:rsidRDefault="00AD1D7B" w:rsidP="00AD1D7B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 графе 8 подраздела 3.3 раздела 3,</w:t>
      </w:r>
      <w:r w:rsidRPr="00AD1D7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графе </w:t>
      </w:r>
      <w:r w:rsidR="00A8147F">
        <w:rPr>
          <w:rFonts w:cs="Times New Roman"/>
          <w:sz w:val="20"/>
          <w:szCs w:val="20"/>
        </w:rPr>
        <w:t>7</w:t>
      </w:r>
      <w:r w:rsidRPr="002A0DD2">
        <w:rPr>
          <w:rFonts w:cs="Times New Roman"/>
          <w:sz w:val="20"/>
          <w:szCs w:val="20"/>
        </w:rPr>
        <w:t xml:space="preserve"> подраздела 4.2</w:t>
      </w:r>
      <w:r w:rsidR="00A8147F">
        <w:rPr>
          <w:rFonts w:cs="Times New Roman"/>
          <w:sz w:val="20"/>
          <w:szCs w:val="20"/>
        </w:rPr>
        <w:t xml:space="preserve"> и графе 21</w:t>
      </w:r>
      <w:r w:rsidRPr="00AD1D7B">
        <w:rPr>
          <w:rFonts w:cs="Times New Roman"/>
          <w:sz w:val="20"/>
          <w:szCs w:val="20"/>
        </w:rPr>
        <w:t xml:space="preserve"> </w:t>
      </w:r>
      <w:r w:rsidRPr="002A0DD2">
        <w:rPr>
          <w:rFonts w:cs="Times New Roman"/>
          <w:sz w:val="20"/>
          <w:szCs w:val="20"/>
        </w:rPr>
        <w:t>подраздела 4.4 раздела 4</w:t>
      </w:r>
      <w:r>
        <w:rPr>
          <w:rFonts w:cs="Times New Roman"/>
          <w:sz w:val="20"/>
          <w:szCs w:val="20"/>
        </w:rPr>
        <w:t xml:space="preserve"> указывается цифровой код страны эмитента в соответствии с </w:t>
      </w:r>
      <w:r w:rsidRPr="00AD1D7B">
        <w:rPr>
          <w:rFonts w:cs="Times New Roman"/>
          <w:sz w:val="20"/>
          <w:szCs w:val="20"/>
        </w:rPr>
        <w:t>Общероссийским классификатором стран мира</w:t>
      </w:r>
      <w:r>
        <w:rPr>
          <w:rFonts w:cs="Times New Roman"/>
          <w:sz w:val="20"/>
          <w:szCs w:val="20"/>
        </w:rPr>
        <w:t>.</w:t>
      </w:r>
    </w:p>
    <w:p w:rsidR="002A0DD2" w:rsidRDefault="00AD1D7B" w:rsidP="00720894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 графе 9 подраздела 3.3</w:t>
      </w:r>
      <w:r w:rsidRPr="00AD1D7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раздела 3, графе </w:t>
      </w:r>
      <w:r w:rsidR="00720894">
        <w:rPr>
          <w:rFonts w:cs="Times New Roman"/>
          <w:sz w:val="20"/>
          <w:szCs w:val="20"/>
        </w:rPr>
        <w:t>8</w:t>
      </w:r>
      <w:r>
        <w:rPr>
          <w:rFonts w:cs="Times New Roman"/>
          <w:sz w:val="20"/>
          <w:szCs w:val="20"/>
        </w:rPr>
        <w:t xml:space="preserve"> </w:t>
      </w:r>
      <w:r w:rsidRPr="002A0DD2">
        <w:rPr>
          <w:rFonts w:cs="Times New Roman"/>
          <w:sz w:val="20"/>
          <w:szCs w:val="20"/>
        </w:rPr>
        <w:t>подраздела 4.2</w:t>
      </w:r>
      <w:r w:rsidR="00183794">
        <w:rPr>
          <w:rFonts w:cs="Times New Roman"/>
          <w:sz w:val="20"/>
          <w:szCs w:val="20"/>
        </w:rPr>
        <w:t xml:space="preserve"> раздела 4, графе</w:t>
      </w:r>
      <w:r w:rsidR="00720894">
        <w:rPr>
          <w:rFonts w:cs="Times New Roman"/>
          <w:sz w:val="20"/>
          <w:szCs w:val="20"/>
        </w:rPr>
        <w:t xml:space="preserve"> 3</w:t>
      </w:r>
      <w:r>
        <w:rPr>
          <w:rFonts w:cs="Times New Roman"/>
          <w:sz w:val="20"/>
          <w:szCs w:val="20"/>
        </w:rPr>
        <w:t xml:space="preserve"> </w:t>
      </w:r>
      <w:r w:rsidR="00183794">
        <w:rPr>
          <w:rFonts w:cs="Times New Roman"/>
          <w:sz w:val="20"/>
          <w:szCs w:val="20"/>
        </w:rPr>
        <w:t>подраздела 4.3 раздела 4, в графах</w:t>
      </w:r>
      <w:r w:rsidR="00720894">
        <w:rPr>
          <w:rFonts w:cs="Times New Roman"/>
          <w:sz w:val="20"/>
          <w:szCs w:val="20"/>
        </w:rPr>
        <w:t xml:space="preserve"> 22, 24,</w:t>
      </w:r>
      <w:r w:rsidR="00183794">
        <w:rPr>
          <w:rFonts w:cs="Times New Roman"/>
          <w:sz w:val="20"/>
          <w:szCs w:val="20"/>
        </w:rPr>
        <w:t xml:space="preserve"> 2</w:t>
      </w:r>
      <w:r w:rsidR="00720894">
        <w:rPr>
          <w:rFonts w:cs="Times New Roman"/>
          <w:sz w:val="20"/>
          <w:szCs w:val="20"/>
        </w:rPr>
        <w:t>7 и 40</w:t>
      </w:r>
      <w:r w:rsidR="00183794">
        <w:rPr>
          <w:rFonts w:cs="Times New Roman"/>
          <w:sz w:val="20"/>
          <w:szCs w:val="20"/>
        </w:rPr>
        <w:t xml:space="preserve"> подраздела 4.4 раздела 4 и графе 2 подраздела 4.</w:t>
      </w:r>
      <w:r w:rsidR="00720894">
        <w:rPr>
          <w:rFonts w:cs="Times New Roman"/>
          <w:sz w:val="20"/>
          <w:szCs w:val="20"/>
        </w:rPr>
        <w:t>6</w:t>
      </w:r>
      <w:r w:rsidR="00183794">
        <w:rPr>
          <w:rFonts w:cs="Times New Roman"/>
          <w:sz w:val="20"/>
          <w:szCs w:val="20"/>
        </w:rPr>
        <w:t xml:space="preserve"> раздела 4 указывается </w:t>
      </w:r>
      <w:r w:rsidR="00183794" w:rsidRPr="00183794">
        <w:rPr>
          <w:rFonts w:cs="Times New Roman"/>
          <w:sz w:val="20"/>
          <w:szCs w:val="20"/>
        </w:rPr>
        <w:t>цифровой ко</w:t>
      </w:r>
      <w:r w:rsidR="00183794">
        <w:rPr>
          <w:rFonts w:cs="Times New Roman"/>
          <w:sz w:val="20"/>
          <w:szCs w:val="20"/>
        </w:rPr>
        <w:t>д валюты</w:t>
      </w:r>
      <w:r w:rsidR="00183794" w:rsidRPr="00183794">
        <w:rPr>
          <w:rFonts w:cs="Times New Roman"/>
          <w:sz w:val="20"/>
          <w:szCs w:val="20"/>
        </w:rPr>
        <w:t xml:space="preserve"> согласно Общероссийскому кл</w:t>
      </w:r>
      <w:r w:rsidR="00CA73ED">
        <w:rPr>
          <w:rFonts w:cs="Times New Roman"/>
          <w:sz w:val="20"/>
          <w:szCs w:val="20"/>
        </w:rPr>
        <w:t>ассификатору валют.</w:t>
      </w:r>
      <w:r w:rsidR="005A60DD">
        <w:rPr>
          <w:rFonts w:cs="Times New Roman"/>
          <w:sz w:val="20"/>
          <w:szCs w:val="20"/>
        </w:rPr>
        <w:t xml:space="preserve"> Графа 2 подраздела 4.6 раздела 4 заполняется по однородным группам, относящимся к валютному и процентному типу в графе 3 подраздела 4.6 раздела 4.</w:t>
      </w:r>
    </w:p>
    <w:p w:rsidR="00CA73ED" w:rsidRDefault="00CA73ED" w:rsidP="00CA73ED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 подразделе 4.1 раздела 4 указывается метод расчета рыночного риска, выбранный профессиональным участником рынка ценных бумаг: «базовый» или «продвинутый».</w:t>
      </w:r>
    </w:p>
    <w:p w:rsidR="00CA73ED" w:rsidRDefault="006D712C" w:rsidP="00CA73ED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 графе 2 подраздела 4.2</w:t>
      </w:r>
      <w:r w:rsidR="00052A8D">
        <w:rPr>
          <w:rFonts w:cs="Times New Roman"/>
          <w:sz w:val="20"/>
          <w:szCs w:val="20"/>
        </w:rPr>
        <w:t xml:space="preserve"> раздела 4</w:t>
      </w:r>
      <w:r w:rsidR="00CA73ED">
        <w:rPr>
          <w:rFonts w:cs="Times New Roman"/>
          <w:sz w:val="20"/>
          <w:szCs w:val="20"/>
        </w:rPr>
        <w:t xml:space="preserve"> указывается</w:t>
      </w:r>
      <w:r w:rsidR="00E752FF">
        <w:rPr>
          <w:rFonts w:cs="Times New Roman"/>
          <w:sz w:val="20"/>
          <w:szCs w:val="20"/>
        </w:rPr>
        <w:t xml:space="preserve"> один из следующих</w:t>
      </w:r>
      <w:r w:rsidR="00CA73ED">
        <w:rPr>
          <w:rFonts w:cs="Times New Roman"/>
          <w:sz w:val="20"/>
          <w:szCs w:val="20"/>
        </w:rPr>
        <w:t xml:space="preserve"> </w:t>
      </w:r>
      <w:r w:rsidR="00CA73ED" w:rsidRPr="00442344">
        <w:rPr>
          <w:rFonts w:cs="Times New Roman"/>
          <w:sz w:val="20"/>
          <w:szCs w:val="20"/>
        </w:rPr>
        <w:t>вид</w:t>
      </w:r>
      <w:r w:rsidR="00E752FF" w:rsidRPr="00442344">
        <w:rPr>
          <w:rFonts w:cs="Times New Roman"/>
          <w:sz w:val="20"/>
          <w:szCs w:val="20"/>
        </w:rPr>
        <w:t>ов объектов</w:t>
      </w:r>
      <w:r w:rsidR="00CA73ED">
        <w:rPr>
          <w:rFonts w:cs="Times New Roman"/>
          <w:sz w:val="20"/>
          <w:szCs w:val="20"/>
        </w:rPr>
        <w:t>, в отношении котор</w:t>
      </w:r>
      <w:r w:rsidR="00E752FF">
        <w:rPr>
          <w:rFonts w:cs="Times New Roman"/>
          <w:sz w:val="20"/>
          <w:szCs w:val="20"/>
        </w:rPr>
        <w:t>ых</w:t>
      </w:r>
      <w:r w:rsidR="00CA73ED">
        <w:rPr>
          <w:rFonts w:cs="Times New Roman"/>
          <w:sz w:val="20"/>
          <w:szCs w:val="20"/>
        </w:rPr>
        <w:t xml:space="preserve"> осуществляется расчет величины рыночного риска:</w:t>
      </w:r>
    </w:p>
    <w:p w:rsidR="00CA73ED" w:rsidRDefault="00CA73ED" w:rsidP="00CA73ED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- «долевые ценные бумаги»;</w:t>
      </w:r>
    </w:p>
    <w:p w:rsidR="00CA73ED" w:rsidRDefault="00CA73ED" w:rsidP="00CA73ED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«</w:t>
      </w:r>
      <w:r w:rsidRPr="00CA73ED">
        <w:rPr>
          <w:rFonts w:cs="Times New Roman"/>
          <w:sz w:val="20"/>
          <w:szCs w:val="20"/>
        </w:rPr>
        <w:t>долговы</w:t>
      </w:r>
      <w:r>
        <w:rPr>
          <w:rFonts w:cs="Times New Roman"/>
          <w:sz w:val="20"/>
          <w:szCs w:val="20"/>
        </w:rPr>
        <w:t>е</w:t>
      </w:r>
      <w:r w:rsidRPr="00CA73ED">
        <w:rPr>
          <w:rFonts w:cs="Times New Roman"/>
          <w:sz w:val="20"/>
          <w:szCs w:val="20"/>
        </w:rPr>
        <w:t xml:space="preserve"> ценны</w:t>
      </w:r>
      <w:r>
        <w:rPr>
          <w:rFonts w:cs="Times New Roman"/>
          <w:sz w:val="20"/>
          <w:szCs w:val="20"/>
        </w:rPr>
        <w:t>е</w:t>
      </w:r>
      <w:r w:rsidRPr="00CA73ED">
        <w:rPr>
          <w:rFonts w:cs="Times New Roman"/>
          <w:sz w:val="20"/>
          <w:szCs w:val="20"/>
        </w:rPr>
        <w:t xml:space="preserve"> бумаг</w:t>
      </w:r>
      <w:r>
        <w:rPr>
          <w:rFonts w:cs="Times New Roman"/>
          <w:sz w:val="20"/>
          <w:szCs w:val="20"/>
        </w:rPr>
        <w:t>и</w:t>
      </w:r>
      <w:r w:rsidRPr="00CA73ED">
        <w:rPr>
          <w:rFonts w:cs="Times New Roman"/>
          <w:sz w:val="20"/>
          <w:szCs w:val="20"/>
        </w:rPr>
        <w:t>, которые квалифицированы в соответствии с разделом 5 приложения 2 к Положению Банка России от 2 сентября 2015 года № 486-П как оцениваемые по справедливой стоимости через прибыль или убыток, как имеющиеся в наличии для продажи или оцениваемые по справедливой стоимост</w:t>
      </w:r>
      <w:r>
        <w:rPr>
          <w:rFonts w:cs="Times New Roman"/>
          <w:sz w:val="20"/>
          <w:szCs w:val="20"/>
        </w:rPr>
        <w:t>и через прочий совокупный доход»;</w:t>
      </w:r>
    </w:p>
    <w:p w:rsidR="00CA73ED" w:rsidRDefault="00CA73ED" w:rsidP="00CA73ED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«</w:t>
      </w:r>
      <w:r w:rsidRPr="00CA73ED">
        <w:rPr>
          <w:rFonts w:cs="Times New Roman"/>
          <w:sz w:val="20"/>
          <w:szCs w:val="20"/>
        </w:rPr>
        <w:t>долговы</w:t>
      </w:r>
      <w:r>
        <w:rPr>
          <w:rFonts w:cs="Times New Roman"/>
          <w:sz w:val="20"/>
          <w:szCs w:val="20"/>
        </w:rPr>
        <w:t>е</w:t>
      </w:r>
      <w:r w:rsidRPr="00CA73ED">
        <w:rPr>
          <w:rFonts w:cs="Times New Roman"/>
          <w:sz w:val="20"/>
          <w:szCs w:val="20"/>
        </w:rPr>
        <w:t xml:space="preserve"> ценны</w:t>
      </w:r>
      <w:r>
        <w:rPr>
          <w:rFonts w:cs="Times New Roman"/>
          <w:sz w:val="20"/>
          <w:szCs w:val="20"/>
        </w:rPr>
        <w:t>е</w:t>
      </w:r>
      <w:r w:rsidRPr="00CA73ED">
        <w:rPr>
          <w:rFonts w:cs="Times New Roman"/>
          <w:sz w:val="20"/>
          <w:szCs w:val="20"/>
        </w:rPr>
        <w:t xml:space="preserve"> бумаг</w:t>
      </w:r>
      <w:r>
        <w:rPr>
          <w:rFonts w:cs="Times New Roman"/>
          <w:sz w:val="20"/>
          <w:szCs w:val="20"/>
        </w:rPr>
        <w:t>и</w:t>
      </w:r>
      <w:r w:rsidRPr="00CA73ED">
        <w:rPr>
          <w:rFonts w:cs="Times New Roman"/>
          <w:sz w:val="20"/>
          <w:szCs w:val="20"/>
        </w:rPr>
        <w:t>, номинированны</w:t>
      </w:r>
      <w:r>
        <w:rPr>
          <w:rFonts w:cs="Times New Roman"/>
          <w:sz w:val="20"/>
          <w:szCs w:val="20"/>
        </w:rPr>
        <w:t>е</w:t>
      </w:r>
      <w:r w:rsidRPr="00CA73ED">
        <w:rPr>
          <w:rFonts w:cs="Times New Roman"/>
          <w:sz w:val="20"/>
          <w:szCs w:val="20"/>
        </w:rPr>
        <w:t xml:space="preserve"> в иностранной валюте, которые квалифицированы в соответствии с разделом 5 приложения 2 к Положению Банка России от 2 сентября 2015 года № 486-П как </w:t>
      </w:r>
      <w:r w:rsidRPr="00CA73ED">
        <w:rPr>
          <w:rFonts w:cs="Times New Roman"/>
          <w:sz w:val="20"/>
          <w:szCs w:val="20"/>
        </w:rPr>
        <w:lastRenderedPageBreak/>
        <w:t>удерживаемые до погашения или учитываемые по амортизированной стоимости, кроме оцениваемых по справедливой стоимости через прибыль или убыток, имеющихся в наличии для продажи, оцениваемых по справедливой стоимости через прочий совокупный до</w:t>
      </w:r>
      <w:r>
        <w:rPr>
          <w:rFonts w:cs="Times New Roman"/>
          <w:sz w:val="20"/>
          <w:szCs w:val="20"/>
        </w:rPr>
        <w:t>ход и удерживаемых до погашения»;</w:t>
      </w:r>
    </w:p>
    <w:p w:rsidR="00CA73ED" w:rsidRDefault="00CA73ED" w:rsidP="00CA73ED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«депозитарные расписки»;</w:t>
      </w:r>
    </w:p>
    <w:p w:rsidR="00CA73ED" w:rsidRDefault="00CA73ED" w:rsidP="00CA73ED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«</w:t>
      </w:r>
      <w:r w:rsidRPr="00CA73ED">
        <w:rPr>
          <w:rFonts w:cs="Times New Roman"/>
          <w:sz w:val="20"/>
          <w:szCs w:val="20"/>
        </w:rPr>
        <w:t>обязательств</w:t>
      </w:r>
      <w:r>
        <w:rPr>
          <w:rFonts w:cs="Times New Roman"/>
          <w:sz w:val="20"/>
          <w:szCs w:val="20"/>
        </w:rPr>
        <w:t>а</w:t>
      </w:r>
      <w:r w:rsidRPr="00CA73ED">
        <w:rPr>
          <w:rFonts w:cs="Times New Roman"/>
          <w:sz w:val="20"/>
          <w:szCs w:val="20"/>
        </w:rPr>
        <w:t xml:space="preserve"> по обратной поставке ценных бумаг, полученных по договорам </w:t>
      </w:r>
      <w:proofErr w:type="spellStart"/>
      <w:r w:rsidRPr="00CA73ED">
        <w:rPr>
          <w:rFonts w:cs="Times New Roman"/>
          <w:sz w:val="20"/>
          <w:szCs w:val="20"/>
        </w:rPr>
        <w:t>репо</w:t>
      </w:r>
      <w:proofErr w:type="spellEnd"/>
      <w:r w:rsidRPr="00CA73ED">
        <w:rPr>
          <w:rFonts w:cs="Times New Roman"/>
          <w:sz w:val="20"/>
          <w:szCs w:val="20"/>
        </w:rPr>
        <w:t xml:space="preserve"> или займа ценных бумаг, в случае если полученные ценные бумаги по договору </w:t>
      </w:r>
      <w:proofErr w:type="spellStart"/>
      <w:r w:rsidRPr="00CA73ED">
        <w:rPr>
          <w:rFonts w:cs="Times New Roman"/>
          <w:sz w:val="20"/>
          <w:szCs w:val="20"/>
        </w:rPr>
        <w:t>репо</w:t>
      </w:r>
      <w:proofErr w:type="spellEnd"/>
      <w:r w:rsidRPr="00CA73ED">
        <w:rPr>
          <w:rFonts w:cs="Times New Roman"/>
          <w:sz w:val="20"/>
          <w:szCs w:val="20"/>
        </w:rPr>
        <w:t xml:space="preserve"> или займа ценных бумаг были реализованы по договору купли-продажи ценных бумаг или переданы по договорам </w:t>
      </w:r>
      <w:proofErr w:type="spellStart"/>
      <w:r w:rsidRPr="00CA73ED">
        <w:rPr>
          <w:rFonts w:cs="Times New Roman"/>
          <w:sz w:val="20"/>
          <w:szCs w:val="20"/>
        </w:rPr>
        <w:t>репо</w:t>
      </w:r>
      <w:proofErr w:type="spellEnd"/>
      <w:r w:rsidRPr="00CA73ED">
        <w:rPr>
          <w:rFonts w:cs="Times New Roman"/>
          <w:sz w:val="20"/>
          <w:szCs w:val="20"/>
        </w:rPr>
        <w:t>, займа ценных бумаг или в обеспечение по привлеченным средствам на срок, превышающий срок первоначальной операции, или по таким ценным бумагам имело место неисполнение контрагентом своих об</w:t>
      </w:r>
      <w:r>
        <w:rPr>
          <w:rFonts w:cs="Times New Roman"/>
          <w:sz w:val="20"/>
          <w:szCs w:val="20"/>
        </w:rPr>
        <w:t>язательств по обратной поставке».</w:t>
      </w:r>
    </w:p>
    <w:p w:rsidR="00CA73ED" w:rsidRDefault="00CA73ED" w:rsidP="00CA73ED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В графах </w:t>
      </w:r>
      <w:r w:rsidR="00720894">
        <w:rPr>
          <w:rFonts w:cs="Times New Roman"/>
          <w:sz w:val="20"/>
          <w:szCs w:val="20"/>
        </w:rPr>
        <w:t>13 и 14</w:t>
      </w:r>
      <w:r w:rsidR="006D712C">
        <w:rPr>
          <w:rFonts w:cs="Times New Roman"/>
          <w:sz w:val="20"/>
          <w:szCs w:val="20"/>
        </w:rPr>
        <w:t xml:space="preserve"> подраздела 4.2</w:t>
      </w:r>
      <w:r w:rsidR="0019374C">
        <w:rPr>
          <w:rFonts w:cs="Times New Roman"/>
          <w:sz w:val="20"/>
          <w:szCs w:val="20"/>
        </w:rPr>
        <w:t>,</w:t>
      </w:r>
      <w:r w:rsidR="00720894">
        <w:rPr>
          <w:rFonts w:cs="Times New Roman"/>
          <w:sz w:val="20"/>
          <w:szCs w:val="20"/>
        </w:rPr>
        <w:t xml:space="preserve"> графе 7</w:t>
      </w:r>
      <w:r w:rsidR="0019374C">
        <w:rPr>
          <w:rFonts w:cs="Times New Roman"/>
          <w:sz w:val="20"/>
          <w:szCs w:val="20"/>
        </w:rPr>
        <w:t xml:space="preserve"> подраздела 4.3 </w:t>
      </w:r>
      <w:r w:rsidR="0031517C">
        <w:rPr>
          <w:rFonts w:cs="Times New Roman"/>
          <w:sz w:val="20"/>
          <w:szCs w:val="20"/>
        </w:rPr>
        <w:t>и графах 30, 33 и 43</w:t>
      </w:r>
      <w:r w:rsidR="00052A8D">
        <w:rPr>
          <w:rFonts w:cs="Times New Roman"/>
          <w:sz w:val="20"/>
          <w:szCs w:val="20"/>
        </w:rPr>
        <w:t xml:space="preserve"> </w:t>
      </w:r>
      <w:r w:rsidR="0019374C">
        <w:rPr>
          <w:rFonts w:cs="Times New Roman"/>
          <w:sz w:val="20"/>
          <w:szCs w:val="20"/>
        </w:rPr>
        <w:t xml:space="preserve">подраздела 4.4 </w:t>
      </w:r>
      <w:r w:rsidR="00052A8D">
        <w:rPr>
          <w:rFonts w:cs="Times New Roman"/>
          <w:sz w:val="20"/>
          <w:szCs w:val="20"/>
        </w:rPr>
        <w:t>раздела 4</w:t>
      </w:r>
      <w:r>
        <w:rPr>
          <w:rFonts w:cs="Times New Roman"/>
          <w:sz w:val="20"/>
          <w:szCs w:val="20"/>
        </w:rPr>
        <w:t xml:space="preserve"> </w:t>
      </w:r>
      <w:r w:rsidRPr="00E25B79">
        <w:rPr>
          <w:rFonts w:cs="Times New Roman"/>
          <w:sz w:val="20"/>
          <w:szCs w:val="20"/>
        </w:rPr>
        <w:t>указывается</w:t>
      </w:r>
      <w:r w:rsidR="00052A8D" w:rsidRPr="00E25B79">
        <w:rPr>
          <w:rFonts w:cs="Times New Roman"/>
          <w:sz w:val="20"/>
          <w:szCs w:val="20"/>
        </w:rPr>
        <w:t xml:space="preserve"> краткое наименование</w:t>
      </w:r>
      <w:r w:rsidRPr="00E25B79">
        <w:rPr>
          <w:rFonts w:cs="Times New Roman"/>
          <w:sz w:val="20"/>
          <w:szCs w:val="20"/>
        </w:rPr>
        <w:t xml:space="preserve"> </w:t>
      </w:r>
      <w:r w:rsidR="00052A8D" w:rsidRPr="00E25B79">
        <w:rPr>
          <w:rFonts w:cs="Times New Roman"/>
          <w:sz w:val="20"/>
          <w:szCs w:val="20"/>
        </w:rPr>
        <w:t>клиринговой</w:t>
      </w:r>
      <w:r w:rsidRPr="00E25B79">
        <w:rPr>
          <w:rFonts w:cs="Times New Roman"/>
          <w:sz w:val="20"/>
          <w:szCs w:val="20"/>
        </w:rPr>
        <w:t xml:space="preserve"> ор</w:t>
      </w:r>
      <w:r w:rsidR="00052A8D" w:rsidRPr="00E25B79">
        <w:rPr>
          <w:rFonts w:cs="Times New Roman"/>
          <w:sz w:val="20"/>
          <w:szCs w:val="20"/>
        </w:rPr>
        <w:t>ганизации, осуществившей</w:t>
      </w:r>
      <w:r w:rsidRPr="00E25B79">
        <w:rPr>
          <w:rFonts w:cs="Times New Roman"/>
          <w:sz w:val="20"/>
          <w:szCs w:val="20"/>
        </w:rPr>
        <w:t xml:space="preserve"> расчет ставки риска</w:t>
      </w:r>
      <w:r w:rsidR="00052A8D">
        <w:rPr>
          <w:rFonts w:cs="Times New Roman"/>
          <w:sz w:val="20"/>
          <w:szCs w:val="20"/>
        </w:rPr>
        <w:t>, согласно учредительным документам. Если ставка риска указана в соответствии с приложением 2 к Указанию</w:t>
      </w:r>
      <w:r w:rsidR="00052A8D" w:rsidRPr="00B17643">
        <w:rPr>
          <w:rFonts w:cs="Times New Roman"/>
          <w:sz w:val="20"/>
          <w:szCs w:val="20"/>
        </w:rPr>
        <w:t xml:space="preserve"> Банка России № </w:t>
      </w:r>
      <w:r w:rsidR="00052A8D" w:rsidRPr="00E25B79">
        <w:rPr>
          <w:rFonts w:cs="Times New Roman"/>
          <w:sz w:val="20"/>
          <w:szCs w:val="20"/>
        </w:rPr>
        <w:t>ХХХ</w:t>
      </w:r>
      <w:r w:rsidR="00052A8D" w:rsidRPr="00B17643">
        <w:rPr>
          <w:rFonts w:cs="Times New Roman"/>
          <w:sz w:val="20"/>
          <w:szCs w:val="20"/>
        </w:rPr>
        <w:t>-</w:t>
      </w:r>
      <w:r w:rsidR="00052A8D">
        <w:rPr>
          <w:rFonts w:cs="Times New Roman"/>
          <w:sz w:val="20"/>
          <w:szCs w:val="20"/>
        </w:rPr>
        <w:t xml:space="preserve">У, то указывается значение </w:t>
      </w:r>
      <w:r w:rsidR="00052A8D" w:rsidRPr="00E25B79">
        <w:rPr>
          <w:rFonts w:cs="Times New Roman"/>
          <w:sz w:val="20"/>
          <w:szCs w:val="20"/>
        </w:rPr>
        <w:t>«согласно Указанию».</w:t>
      </w:r>
    </w:p>
    <w:p w:rsidR="00052A8D" w:rsidRDefault="00052A8D" w:rsidP="00CA73ED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 графе 1</w:t>
      </w:r>
      <w:r w:rsidR="0031517C">
        <w:rPr>
          <w:rFonts w:cs="Times New Roman"/>
          <w:sz w:val="20"/>
          <w:szCs w:val="20"/>
        </w:rPr>
        <w:t>8</w:t>
      </w:r>
      <w:r>
        <w:rPr>
          <w:rFonts w:cs="Times New Roman"/>
          <w:sz w:val="20"/>
          <w:szCs w:val="20"/>
        </w:rPr>
        <w:t xml:space="preserve"> </w:t>
      </w:r>
      <w:r w:rsidR="006D712C">
        <w:rPr>
          <w:rFonts w:cs="Times New Roman"/>
          <w:sz w:val="20"/>
          <w:szCs w:val="20"/>
        </w:rPr>
        <w:t>подраздела 4.2</w:t>
      </w:r>
      <w:r w:rsidR="0031517C">
        <w:rPr>
          <w:rFonts w:cs="Times New Roman"/>
          <w:sz w:val="20"/>
          <w:szCs w:val="20"/>
        </w:rPr>
        <w:t>, графе 9</w:t>
      </w:r>
      <w:r w:rsidR="006D712C">
        <w:rPr>
          <w:rFonts w:cs="Times New Roman"/>
          <w:sz w:val="20"/>
          <w:szCs w:val="20"/>
        </w:rPr>
        <w:t xml:space="preserve"> подраздела 4.3</w:t>
      </w:r>
      <w:r w:rsidR="00175467">
        <w:rPr>
          <w:rFonts w:cs="Times New Roman"/>
          <w:sz w:val="20"/>
          <w:szCs w:val="20"/>
        </w:rPr>
        <w:t>,</w:t>
      </w:r>
      <w:r w:rsidR="0031517C">
        <w:rPr>
          <w:rFonts w:cs="Times New Roman"/>
          <w:sz w:val="20"/>
          <w:szCs w:val="20"/>
        </w:rPr>
        <w:t xml:space="preserve"> графах 38 и 48 подраздела 4.4</w:t>
      </w:r>
      <w:r>
        <w:rPr>
          <w:rFonts w:cs="Times New Roman"/>
          <w:sz w:val="20"/>
          <w:szCs w:val="20"/>
        </w:rPr>
        <w:t xml:space="preserve"> раздела 4 указывается </w:t>
      </w:r>
      <w:r w:rsidR="0019374C">
        <w:rPr>
          <w:rFonts w:cs="Times New Roman"/>
          <w:sz w:val="20"/>
          <w:szCs w:val="20"/>
        </w:rPr>
        <w:t>значение</w:t>
      </w:r>
      <w:r>
        <w:rPr>
          <w:rFonts w:cs="Times New Roman"/>
          <w:sz w:val="20"/>
          <w:szCs w:val="20"/>
        </w:rPr>
        <w:t xml:space="preserve"> «Длинная»</w:t>
      </w:r>
      <w:r w:rsidRPr="00052A8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или «Короткая»</w:t>
      </w:r>
      <w:r w:rsidR="0031517C">
        <w:rPr>
          <w:rFonts w:cs="Times New Roman"/>
          <w:sz w:val="20"/>
          <w:szCs w:val="20"/>
        </w:rPr>
        <w:t>.</w:t>
      </w:r>
    </w:p>
    <w:p w:rsidR="0031517C" w:rsidRDefault="005A60DD" w:rsidP="00CA73ED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 графе 19 подраздела 4.2, графе 10 подраздела 4.3, графе 39 подраздела 4.4 и графе 1 подраздела 4.6 раздела 4 указывается уникальный номер группы однородных объектов, присвоенный отчитывающейся организацией.</w:t>
      </w:r>
    </w:p>
    <w:p w:rsidR="00E752FF" w:rsidRDefault="00E752FF" w:rsidP="00E752FF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 графе 2 подраздела 4.3 раздела 4 указывается один из следующих видов объектов, в отношении которых осуществляется расчет величины рыночного риска:</w:t>
      </w:r>
    </w:p>
    <w:p w:rsidR="00E752FF" w:rsidRDefault="00E752FF" w:rsidP="00E752FF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«иностранная валюта»</w:t>
      </w:r>
      <w:r w:rsidRPr="00E752FF">
        <w:rPr>
          <w:rFonts w:cs="Times New Roman"/>
          <w:sz w:val="20"/>
          <w:szCs w:val="20"/>
        </w:rPr>
        <w:t>;</w:t>
      </w:r>
    </w:p>
    <w:p w:rsidR="00E752FF" w:rsidRDefault="00E752FF" w:rsidP="00E752FF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«</w:t>
      </w:r>
      <w:r w:rsidRPr="00E752FF">
        <w:rPr>
          <w:rFonts w:cs="Times New Roman"/>
          <w:sz w:val="20"/>
          <w:szCs w:val="20"/>
        </w:rPr>
        <w:t>требовани</w:t>
      </w:r>
      <w:r>
        <w:rPr>
          <w:rFonts w:cs="Times New Roman"/>
          <w:sz w:val="20"/>
          <w:szCs w:val="20"/>
        </w:rPr>
        <w:t>я</w:t>
      </w:r>
      <w:r w:rsidRPr="00E752FF">
        <w:rPr>
          <w:rFonts w:cs="Times New Roman"/>
          <w:sz w:val="20"/>
          <w:szCs w:val="20"/>
        </w:rPr>
        <w:t xml:space="preserve"> и обязательств</w:t>
      </w:r>
      <w:r>
        <w:rPr>
          <w:rFonts w:cs="Times New Roman"/>
          <w:sz w:val="20"/>
          <w:szCs w:val="20"/>
        </w:rPr>
        <w:t>а</w:t>
      </w:r>
      <w:r w:rsidRPr="00E752FF">
        <w:rPr>
          <w:rFonts w:cs="Times New Roman"/>
          <w:sz w:val="20"/>
          <w:szCs w:val="20"/>
        </w:rPr>
        <w:t>, выраженны</w:t>
      </w:r>
      <w:r>
        <w:rPr>
          <w:rFonts w:cs="Times New Roman"/>
          <w:sz w:val="20"/>
          <w:szCs w:val="20"/>
        </w:rPr>
        <w:t>е</w:t>
      </w:r>
      <w:r w:rsidRPr="00E752FF">
        <w:rPr>
          <w:rFonts w:cs="Times New Roman"/>
          <w:sz w:val="20"/>
          <w:szCs w:val="20"/>
        </w:rPr>
        <w:t xml:space="preserve"> в иностранной валюте</w:t>
      </w:r>
      <w:r>
        <w:rPr>
          <w:rFonts w:cs="Times New Roman"/>
          <w:sz w:val="20"/>
          <w:szCs w:val="20"/>
        </w:rPr>
        <w:t>».</w:t>
      </w:r>
    </w:p>
    <w:p w:rsidR="008300AE" w:rsidRDefault="008300AE" w:rsidP="00E752FF">
      <w:pPr>
        <w:ind w:firstLine="426"/>
        <w:contextualSpacing/>
        <w:rPr>
          <w:rFonts w:cs="Times New Roman"/>
          <w:sz w:val="20"/>
          <w:szCs w:val="20"/>
        </w:rPr>
      </w:pPr>
      <w:r w:rsidRPr="00E25B79">
        <w:rPr>
          <w:rFonts w:cs="Times New Roman"/>
          <w:sz w:val="20"/>
          <w:szCs w:val="20"/>
        </w:rPr>
        <w:t>Сведения о своп-договорах указываются в подраздел</w:t>
      </w:r>
      <w:r w:rsidR="00666E3C" w:rsidRPr="00E25B79">
        <w:rPr>
          <w:rFonts w:cs="Times New Roman"/>
          <w:sz w:val="20"/>
          <w:szCs w:val="20"/>
        </w:rPr>
        <w:t>ах</w:t>
      </w:r>
      <w:r w:rsidRPr="00E25B79">
        <w:rPr>
          <w:rFonts w:cs="Times New Roman"/>
          <w:sz w:val="20"/>
          <w:szCs w:val="20"/>
        </w:rPr>
        <w:t xml:space="preserve"> 4.4</w:t>
      </w:r>
      <w:r w:rsidR="00666E3C" w:rsidRPr="00E25B79">
        <w:rPr>
          <w:rFonts w:cs="Times New Roman"/>
          <w:sz w:val="20"/>
          <w:szCs w:val="20"/>
        </w:rPr>
        <w:t xml:space="preserve"> и 4.5</w:t>
      </w:r>
      <w:r>
        <w:rPr>
          <w:rFonts w:cs="Times New Roman"/>
          <w:sz w:val="20"/>
          <w:szCs w:val="20"/>
        </w:rPr>
        <w:t xml:space="preserve"> раздела 4 в соответствии с подпунктом 5.4.4 пункта 5.4 Указания</w:t>
      </w:r>
      <w:r w:rsidRPr="00B17643">
        <w:rPr>
          <w:rFonts w:cs="Times New Roman"/>
          <w:sz w:val="20"/>
          <w:szCs w:val="20"/>
        </w:rPr>
        <w:t xml:space="preserve"> Банка России № </w:t>
      </w:r>
      <w:r w:rsidRPr="00E25B79">
        <w:rPr>
          <w:rFonts w:cs="Times New Roman"/>
          <w:sz w:val="20"/>
          <w:szCs w:val="20"/>
        </w:rPr>
        <w:t>ХХХ</w:t>
      </w:r>
      <w:r w:rsidRPr="00B17643">
        <w:rPr>
          <w:rFonts w:cs="Times New Roman"/>
          <w:sz w:val="20"/>
          <w:szCs w:val="20"/>
        </w:rPr>
        <w:t>-</w:t>
      </w:r>
      <w:r>
        <w:rPr>
          <w:rFonts w:cs="Times New Roman"/>
          <w:sz w:val="20"/>
          <w:szCs w:val="20"/>
        </w:rPr>
        <w:t>У.</w:t>
      </w:r>
    </w:p>
    <w:p w:rsidR="00E752FF" w:rsidRDefault="00E752FF" w:rsidP="00E752FF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В графе 2 подраздела 4.4 </w:t>
      </w:r>
      <w:r w:rsidR="008D59BE">
        <w:rPr>
          <w:rFonts w:cs="Times New Roman"/>
          <w:sz w:val="20"/>
          <w:szCs w:val="20"/>
        </w:rPr>
        <w:t>и в графе 2 подраздела 4.5 раздела 4</w:t>
      </w:r>
      <w:r>
        <w:rPr>
          <w:rFonts w:cs="Times New Roman"/>
          <w:sz w:val="20"/>
          <w:szCs w:val="20"/>
        </w:rPr>
        <w:t xml:space="preserve"> указывается вид производного финансового инструмента </w:t>
      </w:r>
      <w:r w:rsidR="003C0285" w:rsidRPr="00E25B79">
        <w:rPr>
          <w:rFonts w:cs="Times New Roman"/>
          <w:sz w:val="20"/>
          <w:szCs w:val="20"/>
        </w:rPr>
        <w:t xml:space="preserve">в соответствии с Указанием № 3565-У </w:t>
      </w:r>
      <w:r w:rsidR="008D59BE" w:rsidRPr="00E25B79">
        <w:rPr>
          <w:rFonts w:cs="Times New Roman"/>
          <w:sz w:val="20"/>
          <w:szCs w:val="20"/>
        </w:rPr>
        <w:t>"</w:t>
      </w:r>
      <w:r w:rsidR="003C0285" w:rsidRPr="00E25B79">
        <w:rPr>
          <w:rFonts w:cs="Times New Roman"/>
          <w:sz w:val="20"/>
          <w:szCs w:val="20"/>
        </w:rPr>
        <w:t>О видах производных финансовых инструментов":</w:t>
      </w:r>
    </w:p>
    <w:p w:rsidR="00E752FF" w:rsidRDefault="003711B3" w:rsidP="00E752FF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="003C0285">
        <w:rPr>
          <w:rFonts w:cs="Times New Roman"/>
          <w:sz w:val="20"/>
          <w:szCs w:val="20"/>
        </w:rPr>
        <w:t>«</w:t>
      </w:r>
      <w:r w:rsidR="00E752FF">
        <w:rPr>
          <w:rFonts w:cs="Times New Roman"/>
          <w:sz w:val="20"/>
          <w:szCs w:val="20"/>
        </w:rPr>
        <w:t>Опцион</w:t>
      </w:r>
      <w:r w:rsidR="003C0285">
        <w:rPr>
          <w:rFonts w:cs="Times New Roman"/>
          <w:sz w:val="20"/>
          <w:szCs w:val="20"/>
        </w:rPr>
        <w:t>»;</w:t>
      </w:r>
    </w:p>
    <w:p w:rsidR="00E752FF" w:rsidRDefault="003711B3" w:rsidP="00E752FF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="003C0285">
        <w:rPr>
          <w:rFonts w:cs="Times New Roman"/>
          <w:sz w:val="20"/>
          <w:szCs w:val="20"/>
        </w:rPr>
        <w:t>«</w:t>
      </w:r>
      <w:r w:rsidR="00E752FF">
        <w:rPr>
          <w:rFonts w:cs="Times New Roman"/>
          <w:sz w:val="20"/>
          <w:szCs w:val="20"/>
        </w:rPr>
        <w:t>Фьючерс</w:t>
      </w:r>
      <w:r w:rsidR="003C0285">
        <w:rPr>
          <w:rFonts w:cs="Times New Roman"/>
          <w:sz w:val="20"/>
          <w:szCs w:val="20"/>
        </w:rPr>
        <w:t>»;</w:t>
      </w:r>
    </w:p>
    <w:p w:rsidR="00E752FF" w:rsidRDefault="003711B3" w:rsidP="00E752FF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="003C0285">
        <w:rPr>
          <w:rFonts w:cs="Times New Roman"/>
          <w:sz w:val="20"/>
          <w:szCs w:val="20"/>
        </w:rPr>
        <w:t>«</w:t>
      </w:r>
      <w:r w:rsidR="00E752FF">
        <w:rPr>
          <w:rFonts w:cs="Times New Roman"/>
          <w:sz w:val="20"/>
          <w:szCs w:val="20"/>
        </w:rPr>
        <w:t>Форвард</w:t>
      </w:r>
      <w:r w:rsidR="003C0285">
        <w:rPr>
          <w:rFonts w:cs="Times New Roman"/>
          <w:sz w:val="20"/>
          <w:szCs w:val="20"/>
        </w:rPr>
        <w:t>»;</w:t>
      </w:r>
    </w:p>
    <w:p w:rsidR="00E752FF" w:rsidRPr="00E25B79" w:rsidRDefault="003711B3" w:rsidP="003C0285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="003C0285">
        <w:rPr>
          <w:rFonts w:cs="Times New Roman"/>
          <w:sz w:val="20"/>
          <w:szCs w:val="20"/>
        </w:rPr>
        <w:t>«</w:t>
      </w:r>
      <w:r w:rsidR="00E752FF">
        <w:rPr>
          <w:rFonts w:cs="Times New Roman"/>
          <w:sz w:val="20"/>
          <w:szCs w:val="20"/>
        </w:rPr>
        <w:t>Своп</w:t>
      </w:r>
      <w:r w:rsidR="003C0285">
        <w:rPr>
          <w:rFonts w:cs="Times New Roman"/>
          <w:sz w:val="20"/>
          <w:szCs w:val="20"/>
        </w:rPr>
        <w:t>»</w:t>
      </w:r>
      <w:r w:rsidR="00526C4A" w:rsidRPr="00E25B79">
        <w:rPr>
          <w:rFonts w:cs="Times New Roman"/>
          <w:sz w:val="20"/>
          <w:szCs w:val="20"/>
        </w:rPr>
        <w:t>.</w:t>
      </w:r>
    </w:p>
    <w:p w:rsidR="003C0285" w:rsidRDefault="003C0285" w:rsidP="003C0285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В графе 3 подраздела 4.4 </w:t>
      </w:r>
      <w:r w:rsidR="008D59BE">
        <w:rPr>
          <w:rFonts w:cs="Times New Roman"/>
          <w:sz w:val="20"/>
          <w:szCs w:val="20"/>
        </w:rPr>
        <w:t xml:space="preserve">раздела 4 </w:t>
      </w:r>
      <w:r>
        <w:rPr>
          <w:rFonts w:cs="Times New Roman"/>
          <w:sz w:val="20"/>
          <w:szCs w:val="20"/>
        </w:rPr>
        <w:t xml:space="preserve">указывается </w:t>
      </w:r>
      <w:r w:rsidR="003711B3">
        <w:rPr>
          <w:rFonts w:cs="Times New Roman"/>
          <w:sz w:val="20"/>
          <w:szCs w:val="20"/>
        </w:rPr>
        <w:t>место совершения сделки:</w:t>
      </w:r>
    </w:p>
    <w:p w:rsidR="003711B3" w:rsidRPr="003711B3" w:rsidRDefault="003711B3" w:rsidP="003711B3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«</w:t>
      </w:r>
      <w:r w:rsidRPr="003711B3">
        <w:rPr>
          <w:rFonts w:cs="Times New Roman"/>
          <w:sz w:val="20"/>
          <w:szCs w:val="20"/>
        </w:rPr>
        <w:t>российский организатор торговли</w:t>
      </w:r>
      <w:r>
        <w:rPr>
          <w:rFonts w:cs="Times New Roman"/>
          <w:sz w:val="20"/>
          <w:szCs w:val="20"/>
        </w:rPr>
        <w:t>»</w:t>
      </w:r>
      <w:r w:rsidRPr="003711B3">
        <w:rPr>
          <w:rFonts w:cs="Times New Roman"/>
          <w:sz w:val="20"/>
          <w:szCs w:val="20"/>
        </w:rPr>
        <w:t>;</w:t>
      </w:r>
    </w:p>
    <w:p w:rsidR="003711B3" w:rsidRPr="003711B3" w:rsidRDefault="003711B3" w:rsidP="003711B3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«</w:t>
      </w:r>
      <w:r w:rsidRPr="003711B3">
        <w:rPr>
          <w:rFonts w:cs="Times New Roman"/>
          <w:sz w:val="20"/>
          <w:szCs w:val="20"/>
        </w:rPr>
        <w:t>иностранная торговая площадка</w:t>
      </w:r>
      <w:r>
        <w:rPr>
          <w:rFonts w:cs="Times New Roman"/>
          <w:sz w:val="20"/>
          <w:szCs w:val="20"/>
        </w:rPr>
        <w:t>»</w:t>
      </w:r>
      <w:r w:rsidRPr="003711B3">
        <w:rPr>
          <w:rFonts w:cs="Times New Roman"/>
          <w:sz w:val="20"/>
          <w:szCs w:val="20"/>
        </w:rPr>
        <w:t>;</w:t>
      </w:r>
    </w:p>
    <w:p w:rsidR="003711B3" w:rsidRDefault="003711B3" w:rsidP="003711B3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«</w:t>
      </w:r>
      <w:r w:rsidRPr="003711B3">
        <w:rPr>
          <w:rFonts w:cs="Times New Roman"/>
          <w:sz w:val="20"/>
          <w:szCs w:val="20"/>
        </w:rPr>
        <w:t>внебиржевой рынок</w:t>
      </w:r>
      <w:r>
        <w:rPr>
          <w:rFonts w:cs="Times New Roman"/>
          <w:sz w:val="20"/>
          <w:szCs w:val="20"/>
        </w:rPr>
        <w:t>»</w:t>
      </w:r>
      <w:r w:rsidRPr="003711B3">
        <w:rPr>
          <w:rFonts w:cs="Times New Roman"/>
          <w:sz w:val="20"/>
          <w:szCs w:val="20"/>
        </w:rPr>
        <w:t>.</w:t>
      </w:r>
    </w:p>
    <w:p w:rsidR="00D62172" w:rsidRPr="00E25B79" w:rsidRDefault="00D62172" w:rsidP="00D443AB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В графе 4 подраздела 4.4 </w:t>
      </w:r>
      <w:r w:rsidR="00175467">
        <w:rPr>
          <w:rFonts w:cs="Times New Roman"/>
          <w:sz w:val="20"/>
          <w:szCs w:val="20"/>
        </w:rPr>
        <w:t xml:space="preserve">и в графе 3 подраздела 4.5 раздела 4 </w:t>
      </w:r>
      <w:r>
        <w:rPr>
          <w:rFonts w:cs="Times New Roman"/>
          <w:sz w:val="20"/>
          <w:szCs w:val="20"/>
        </w:rPr>
        <w:t xml:space="preserve"> указывается </w:t>
      </w:r>
      <w:r w:rsidRPr="00E25B79">
        <w:rPr>
          <w:rFonts w:cs="Times New Roman"/>
          <w:sz w:val="20"/>
          <w:szCs w:val="20"/>
        </w:rPr>
        <w:t>торговый код, присвоенный торговой системой, если местом совершения сделки является российский организатор торговли или иностранная торговая площадка</w:t>
      </w:r>
      <w:r w:rsidR="00D443AB" w:rsidRPr="00E25B79">
        <w:rPr>
          <w:rFonts w:cs="Times New Roman"/>
          <w:sz w:val="20"/>
          <w:szCs w:val="20"/>
        </w:rPr>
        <w:t>, или номер соответствующего договора производного финансового инструмента, если сделка совершена на внебиржевом рынке.</w:t>
      </w:r>
    </w:p>
    <w:p w:rsidR="00D62172" w:rsidRDefault="00D443AB" w:rsidP="003711B3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 графе 7 подраздела 4.4 раздела 4 указывается вид опциона: «Пут» или «Колл».</w:t>
      </w:r>
    </w:p>
    <w:p w:rsidR="00412F3D" w:rsidRDefault="00D443AB" w:rsidP="00C31728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В графе 8 подраздела 4.4 раздела 4 указывается тип опциона: «Американский», «Европейский» или «Бермудский».</w:t>
      </w:r>
    </w:p>
    <w:p w:rsidR="005A4E94" w:rsidRDefault="005A4E94" w:rsidP="003711B3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Графы 10-12 подраздела 4.4 раздела 4 заполняю</w:t>
      </w:r>
      <w:r w:rsidRPr="005A4E94">
        <w:rPr>
          <w:rFonts w:cs="Times New Roman"/>
          <w:sz w:val="20"/>
          <w:szCs w:val="20"/>
        </w:rPr>
        <w:t xml:space="preserve">тся для опционного договора, если расчет величины рыночного риска </w:t>
      </w:r>
      <w:r>
        <w:rPr>
          <w:rFonts w:cs="Times New Roman"/>
          <w:sz w:val="20"/>
          <w:szCs w:val="20"/>
        </w:rPr>
        <w:t>осуществляется</w:t>
      </w:r>
      <w:r w:rsidRPr="005A4E94">
        <w:rPr>
          <w:rFonts w:cs="Times New Roman"/>
          <w:sz w:val="20"/>
          <w:szCs w:val="20"/>
        </w:rPr>
        <w:t xml:space="preserve"> в соответствии с подпунктом 5.4.5 пункта 5.4 Указания Банка России от ХХ.ХХ.ХХХХ № ХХХХ-У</w:t>
      </w:r>
      <w:r>
        <w:rPr>
          <w:rFonts w:cs="Times New Roman"/>
          <w:sz w:val="20"/>
          <w:szCs w:val="20"/>
        </w:rPr>
        <w:t>.</w:t>
      </w:r>
    </w:p>
    <w:p w:rsidR="005A4E94" w:rsidRDefault="005A4E94" w:rsidP="003711B3">
      <w:pPr>
        <w:ind w:firstLine="426"/>
        <w:contextualSpacing/>
        <w:rPr>
          <w:rFonts w:cs="Times New Roman"/>
          <w:sz w:val="20"/>
          <w:szCs w:val="20"/>
        </w:rPr>
      </w:pPr>
      <w:r w:rsidRPr="008300AE">
        <w:rPr>
          <w:rFonts w:cs="Times New Roman"/>
          <w:sz w:val="20"/>
          <w:szCs w:val="20"/>
        </w:rPr>
        <w:t xml:space="preserve">В графе 12 подраздела 4.4 </w:t>
      </w:r>
      <w:r w:rsidR="00442344" w:rsidRPr="008300AE">
        <w:rPr>
          <w:rFonts w:cs="Times New Roman"/>
          <w:sz w:val="20"/>
          <w:szCs w:val="20"/>
        </w:rPr>
        <w:t xml:space="preserve">раздела 4 </w:t>
      </w:r>
      <w:r w:rsidRPr="008300AE">
        <w:rPr>
          <w:rFonts w:cs="Times New Roman"/>
          <w:sz w:val="20"/>
          <w:szCs w:val="20"/>
        </w:rPr>
        <w:t>указывается величина индивидуального клирингового обеспечения, рассчитанная клиринговой организацией</w:t>
      </w:r>
      <w:r w:rsidR="00442344" w:rsidRPr="008300AE">
        <w:rPr>
          <w:rFonts w:cs="Times New Roman"/>
          <w:sz w:val="20"/>
          <w:szCs w:val="20"/>
        </w:rPr>
        <w:t xml:space="preserve"> по опционному договору.</w:t>
      </w:r>
    </w:p>
    <w:p w:rsidR="00126AD4" w:rsidRDefault="005A4E94" w:rsidP="00126AD4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Графы 13 и 14 подраздела 4.4 раздела 4 заполняются </w:t>
      </w:r>
      <w:r w:rsidRPr="005A4E94">
        <w:rPr>
          <w:rFonts w:cs="Times New Roman"/>
          <w:sz w:val="20"/>
          <w:szCs w:val="20"/>
        </w:rPr>
        <w:t xml:space="preserve">для опционного договора, если расчет величины рыночного риска </w:t>
      </w:r>
      <w:r>
        <w:rPr>
          <w:rFonts w:cs="Times New Roman"/>
          <w:sz w:val="20"/>
          <w:szCs w:val="20"/>
        </w:rPr>
        <w:t>осуществляется</w:t>
      </w:r>
      <w:r w:rsidRPr="005A4E94">
        <w:rPr>
          <w:rFonts w:cs="Times New Roman"/>
          <w:sz w:val="20"/>
          <w:szCs w:val="20"/>
        </w:rPr>
        <w:t xml:space="preserve"> в соответствии с подпунктом 5.4.6 пункта 5.4 Указания Банка России от ХХ.ХХ.ХХХХ № ХХХХ-У</w:t>
      </w:r>
      <w:r>
        <w:rPr>
          <w:rFonts w:cs="Times New Roman"/>
          <w:sz w:val="20"/>
          <w:szCs w:val="20"/>
        </w:rPr>
        <w:t>.</w:t>
      </w:r>
    </w:p>
    <w:p w:rsidR="00126AD4" w:rsidRDefault="00D443AB" w:rsidP="00126AD4">
      <w:pPr>
        <w:ind w:firstLine="426"/>
        <w:contextualSpacing/>
        <w:rPr>
          <w:rFonts w:cs="Times New Roman"/>
          <w:sz w:val="20"/>
          <w:szCs w:val="20"/>
        </w:rPr>
      </w:pPr>
      <w:r w:rsidRPr="0098268B">
        <w:rPr>
          <w:rFonts w:cs="Times New Roman"/>
          <w:sz w:val="20"/>
          <w:szCs w:val="20"/>
        </w:rPr>
        <w:t xml:space="preserve">В графе </w:t>
      </w:r>
      <w:r w:rsidR="005A4E94" w:rsidRPr="0098268B">
        <w:rPr>
          <w:rFonts w:cs="Times New Roman"/>
          <w:sz w:val="20"/>
          <w:szCs w:val="20"/>
        </w:rPr>
        <w:t>15</w:t>
      </w:r>
      <w:r w:rsidRPr="0098268B">
        <w:rPr>
          <w:rFonts w:cs="Times New Roman"/>
          <w:sz w:val="20"/>
          <w:szCs w:val="20"/>
        </w:rPr>
        <w:t xml:space="preserve"> подраздела 4.4 раздела 4 указывается</w:t>
      </w:r>
      <w:r w:rsidR="009A0D89" w:rsidRPr="0098268B">
        <w:rPr>
          <w:rFonts w:cs="Times New Roman"/>
          <w:sz w:val="20"/>
          <w:szCs w:val="20"/>
        </w:rPr>
        <w:t xml:space="preserve"> код</w:t>
      </w:r>
      <w:r w:rsidRPr="0098268B">
        <w:rPr>
          <w:rFonts w:cs="Times New Roman"/>
          <w:sz w:val="20"/>
          <w:szCs w:val="20"/>
        </w:rPr>
        <w:t xml:space="preserve"> тип</w:t>
      </w:r>
      <w:r w:rsidR="009A0D89" w:rsidRPr="0098268B">
        <w:rPr>
          <w:rFonts w:cs="Times New Roman"/>
          <w:sz w:val="20"/>
          <w:szCs w:val="20"/>
        </w:rPr>
        <w:t>а</w:t>
      </w:r>
      <w:r w:rsidRPr="0098268B">
        <w:rPr>
          <w:rFonts w:cs="Times New Roman"/>
          <w:sz w:val="20"/>
          <w:szCs w:val="20"/>
        </w:rPr>
        <w:t xml:space="preserve"> базового актива</w:t>
      </w:r>
      <w:r w:rsidR="009A0D89" w:rsidRPr="0098268B">
        <w:rPr>
          <w:rFonts w:cs="Times New Roman"/>
          <w:sz w:val="20"/>
          <w:szCs w:val="20"/>
        </w:rPr>
        <w:t>:</w:t>
      </w:r>
    </w:p>
    <w:p w:rsidR="009A0D89" w:rsidRPr="009A0D89" w:rsidRDefault="009A0D89" w:rsidP="009A0D89">
      <w:pPr>
        <w:ind w:firstLine="426"/>
        <w:contextualSpacing/>
        <w:rPr>
          <w:rFonts w:cs="Times New Roman"/>
          <w:sz w:val="20"/>
          <w:szCs w:val="20"/>
        </w:rPr>
      </w:pPr>
      <w:r w:rsidRPr="009A0D89">
        <w:rPr>
          <w:rFonts w:cs="Times New Roman"/>
          <w:sz w:val="20"/>
          <w:szCs w:val="20"/>
        </w:rPr>
        <w:t>E1 - акции;</w:t>
      </w:r>
    </w:p>
    <w:p w:rsidR="009A0D89" w:rsidRPr="009A0D89" w:rsidRDefault="009A0D89" w:rsidP="009A0D89">
      <w:pPr>
        <w:ind w:firstLine="426"/>
        <w:contextualSpacing/>
        <w:rPr>
          <w:rFonts w:cs="Times New Roman"/>
          <w:sz w:val="20"/>
          <w:szCs w:val="20"/>
        </w:rPr>
      </w:pPr>
      <w:r w:rsidRPr="009A0D89">
        <w:rPr>
          <w:rFonts w:cs="Times New Roman"/>
          <w:sz w:val="20"/>
          <w:szCs w:val="20"/>
        </w:rPr>
        <w:t>E2 - паи;</w:t>
      </w:r>
    </w:p>
    <w:p w:rsidR="009A0D89" w:rsidRPr="009A0D89" w:rsidRDefault="009A0D89" w:rsidP="009A0D89">
      <w:pPr>
        <w:ind w:firstLine="426"/>
        <w:contextualSpacing/>
        <w:rPr>
          <w:rFonts w:cs="Times New Roman"/>
          <w:sz w:val="20"/>
          <w:szCs w:val="20"/>
        </w:rPr>
      </w:pPr>
      <w:r w:rsidRPr="009A0D89">
        <w:rPr>
          <w:rFonts w:cs="Times New Roman"/>
          <w:sz w:val="20"/>
          <w:szCs w:val="20"/>
        </w:rPr>
        <w:t>E3 - депозитарные расписки на акции;</w:t>
      </w:r>
    </w:p>
    <w:p w:rsidR="009A0D89" w:rsidRPr="009A0D89" w:rsidRDefault="009A0D89" w:rsidP="009A0D89">
      <w:pPr>
        <w:ind w:firstLine="426"/>
        <w:contextualSpacing/>
        <w:rPr>
          <w:rFonts w:cs="Times New Roman"/>
          <w:sz w:val="20"/>
          <w:szCs w:val="20"/>
        </w:rPr>
      </w:pPr>
      <w:r w:rsidRPr="009A0D89">
        <w:rPr>
          <w:rFonts w:cs="Times New Roman"/>
          <w:sz w:val="20"/>
          <w:szCs w:val="20"/>
        </w:rPr>
        <w:t>E4 - индекс долевых инструментов;</w:t>
      </w:r>
    </w:p>
    <w:p w:rsidR="009A0D89" w:rsidRPr="009A0D89" w:rsidRDefault="009A0D89" w:rsidP="009A0D89">
      <w:pPr>
        <w:ind w:firstLine="426"/>
        <w:contextualSpacing/>
        <w:rPr>
          <w:rFonts w:cs="Times New Roman"/>
          <w:sz w:val="20"/>
          <w:szCs w:val="20"/>
        </w:rPr>
      </w:pPr>
      <w:r w:rsidRPr="009A0D89">
        <w:rPr>
          <w:rFonts w:cs="Times New Roman"/>
          <w:sz w:val="20"/>
          <w:szCs w:val="20"/>
        </w:rPr>
        <w:t>E5 - корзина долевых инструментов;</w:t>
      </w:r>
    </w:p>
    <w:p w:rsidR="009A0D89" w:rsidRPr="009A0D89" w:rsidRDefault="009A0D89" w:rsidP="009A0D89">
      <w:pPr>
        <w:ind w:firstLine="426"/>
        <w:contextualSpacing/>
        <w:rPr>
          <w:rFonts w:cs="Times New Roman"/>
          <w:sz w:val="20"/>
          <w:szCs w:val="20"/>
        </w:rPr>
      </w:pPr>
      <w:r w:rsidRPr="009A0D89">
        <w:rPr>
          <w:rFonts w:cs="Times New Roman"/>
          <w:sz w:val="20"/>
          <w:szCs w:val="20"/>
        </w:rPr>
        <w:t>D1 - облигации;</w:t>
      </w:r>
    </w:p>
    <w:p w:rsidR="009A0D89" w:rsidRPr="009A0D89" w:rsidRDefault="009A0D89" w:rsidP="009A0D89">
      <w:pPr>
        <w:ind w:firstLine="426"/>
        <w:contextualSpacing/>
        <w:rPr>
          <w:rFonts w:cs="Times New Roman"/>
          <w:sz w:val="20"/>
          <w:szCs w:val="20"/>
        </w:rPr>
      </w:pPr>
      <w:r w:rsidRPr="009A0D89">
        <w:rPr>
          <w:rFonts w:cs="Times New Roman"/>
          <w:sz w:val="20"/>
          <w:szCs w:val="20"/>
        </w:rPr>
        <w:t>D2 - процентные ставки;</w:t>
      </w:r>
    </w:p>
    <w:p w:rsidR="009A0D89" w:rsidRPr="009A0D89" w:rsidRDefault="009A0D89" w:rsidP="009A0D89">
      <w:pPr>
        <w:ind w:firstLine="426"/>
        <w:contextualSpacing/>
        <w:rPr>
          <w:rFonts w:cs="Times New Roman"/>
          <w:sz w:val="20"/>
          <w:szCs w:val="20"/>
        </w:rPr>
      </w:pPr>
      <w:r w:rsidRPr="009A0D89">
        <w:rPr>
          <w:rFonts w:cs="Times New Roman"/>
          <w:sz w:val="20"/>
          <w:szCs w:val="20"/>
        </w:rPr>
        <w:t>D3 - индекс долговых инструментов;</w:t>
      </w:r>
    </w:p>
    <w:p w:rsidR="009A0D89" w:rsidRPr="009A0D89" w:rsidRDefault="009A0D89" w:rsidP="009A0D89">
      <w:pPr>
        <w:ind w:firstLine="426"/>
        <w:contextualSpacing/>
        <w:rPr>
          <w:rFonts w:cs="Times New Roman"/>
          <w:sz w:val="20"/>
          <w:szCs w:val="20"/>
        </w:rPr>
      </w:pPr>
      <w:r w:rsidRPr="009A0D89">
        <w:rPr>
          <w:rFonts w:cs="Times New Roman"/>
          <w:sz w:val="20"/>
          <w:szCs w:val="20"/>
        </w:rPr>
        <w:t>D4 - корзина долговых инструментов;</w:t>
      </w:r>
    </w:p>
    <w:p w:rsidR="009A0D89" w:rsidRPr="009A0D89" w:rsidRDefault="009A0D89" w:rsidP="009A0D89">
      <w:pPr>
        <w:ind w:firstLine="426"/>
        <w:contextualSpacing/>
        <w:rPr>
          <w:rFonts w:cs="Times New Roman"/>
          <w:sz w:val="20"/>
          <w:szCs w:val="20"/>
        </w:rPr>
      </w:pPr>
      <w:r w:rsidRPr="009A0D89">
        <w:rPr>
          <w:rFonts w:cs="Times New Roman"/>
          <w:sz w:val="20"/>
          <w:szCs w:val="20"/>
        </w:rPr>
        <w:t>D5 - кредитное событие;</w:t>
      </w:r>
    </w:p>
    <w:p w:rsidR="009A0D89" w:rsidRPr="009A0D89" w:rsidRDefault="009A0D89" w:rsidP="009A0D89">
      <w:pPr>
        <w:ind w:firstLine="426"/>
        <w:contextualSpacing/>
        <w:rPr>
          <w:rFonts w:cs="Times New Roman"/>
          <w:sz w:val="20"/>
          <w:szCs w:val="20"/>
        </w:rPr>
      </w:pPr>
      <w:r w:rsidRPr="009A0D89">
        <w:rPr>
          <w:rFonts w:cs="Times New Roman"/>
          <w:sz w:val="20"/>
          <w:szCs w:val="20"/>
        </w:rPr>
        <w:t>C1 - товары (за исключением драгоценных металлов);</w:t>
      </w:r>
    </w:p>
    <w:p w:rsidR="009A0D89" w:rsidRPr="009A0D89" w:rsidRDefault="009A0D89" w:rsidP="009A0D89">
      <w:pPr>
        <w:ind w:firstLine="426"/>
        <w:contextualSpacing/>
        <w:rPr>
          <w:rFonts w:cs="Times New Roman"/>
          <w:sz w:val="20"/>
          <w:szCs w:val="20"/>
        </w:rPr>
      </w:pPr>
      <w:r w:rsidRPr="009A0D89">
        <w:rPr>
          <w:rFonts w:cs="Times New Roman"/>
          <w:sz w:val="20"/>
          <w:szCs w:val="20"/>
        </w:rPr>
        <w:t>C2 - товарный индекс;</w:t>
      </w:r>
    </w:p>
    <w:p w:rsidR="009A0D89" w:rsidRPr="009A0D89" w:rsidRDefault="009A0D89" w:rsidP="009A0D89">
      <w:pPr>
        <w:ind w:firstLine="426"/>
        <w:contextualSpacing/>
        <w:rPr>
          <w:rFonts w:cs="Times New Roman"/>
          <w:sz w:val="20"/>
          <w:szCs w:val="20"/>
        </w:rPr>
      </w:pPr>
      <w:r w:rsidRPr="009A0D89">
        <w:rPr>
          <w:rFonts w:cs="Times New Roman"/>
          <w:sz w:val="20"/>
          <w:szCs w:val="20"/>
        </w:rPr>
        <w:t>C3 - корзина товарных активов;</w:t>
      </w:r>
    </w:p>
    <w:p w:rsidR="009A0D89" w:rsidRPr="009A0D89" w:rsidRDefault="009A0D89" w:rsidP="009A0D89">
      <w:pPr>
        <w:ind w:firstLine="426"/>
        <w:contextualSpacing/>
        <w:rPr>
          <w:rFonts w:cs="Times New Roman"/>
          <w:sz w:val="20"/>
          <w:szCs w:val="20"/>
        </w:rPr>
      </w:pPr>
      <w:r w:rsidRPr="009A0D89">
        <w:rPr>
          <w:rFonts w:cs="Times New Roman"/>
          <w:sz w:val="20"/>
          <w:szCs w:val="20"/>
        </w:rPr>
        <w:t>C4 - драгоценные металлы;</w:t>
      </w:r>
    </w:p>
    <w:p w:rsidR="009A0D89" w:rsidRPr="009A0D89" w:rsidRDefault="009A0D89" w:rsidP="009A0D89">
      <w:pPr>
        <w:ind w:firstLine="426"/>
        <w:contextualSpacing/>
        <w:rPr>
          <w:rFonts w:cs="Times New Roman"/>
          <w:sz w:val="20"/>
          <w:szCs w:val="20"/>
        </w:rPr>
      </w:pPr>
      <w:r w:rsidRPr="009A0D89">
        <w:rPr>
          <w:rFonts w:cs="Times New Roman"/>
          <w:sz w:val="20"/>
          <w:szCs w:val="20"/>
        </w:rPr>
        <w:t>C5 - индекс на драгоценные металлы;</w:t>
      </w:r>
    </w:p>
    <w:p w:rsidR="009A0D89" w:rsidRPr="009A0D89" w:rsidRDefault="009A0D89" w:rsidP="009A0D89">
      <w:pPr>
        <w:ind w:firstLine="426"/>
        <w:contextualSpacing/>
        <w:rPr>
          <w:rFonts w:cs="Times New Roman"/>
          <w:sz w:val="20"/>
          <w:szCs w:val="20"/>
        </w:rPr>
      </w:pPr>
      <w:r w:rsidRPr="009A0D89">
        <w:rPr>
          <w:rFonts w:cs="Times New Roman"/>
          <w:sz w:val="20"/>
          <w:szCs w:val="20"/>
        </w:rPr>
        <w:t>C6 - корзина драгоценных металлов;</w:t>
      </w:r>
    </w:p>
    <w:p w:rsidR="009A0D89" w:rsidRPr="009A0D89" w:rsidRDefault="009A0D89" w:rsidP="009A0D89">
      <w:pPr>
        <w:ind w:firstLine="426"/>
        <w:contextualSpacing/>
        <w:rPr>
          <w:rFonts w:cs="Times New Roman"/>
          <w:sz w:val="20"/>
          <w:szCs w:val="20"/>
        </w:rPr>
      </w:pPr>
      <w:r w:rsidRPr="009A0D89">
        <w:rPr>
          <w:rFonts w:cs="Times New Roman"/>
          <w:sz w:val="20"/>
          <w:szCs w:val="20"/>
        </w:rPr>
        <w:t>V1 - валюты;</w:t>
      </w:r>
    </w:p>
    <w:p w:rsidR="009A0D89" w:rsidRPr="009A0D89" w:rsidRDefault="009A0D89" w:rsidP="009A0D89">
      <w:pPr>
        <w:ind w:firstLine="426"/>
        <w:contextualSpacing/>
        <w:rPr>
          <w:rFonts w:cs="Times New Roman"/>
          <w:sz w:val="20"/>
          <w:szCs w:val="20"/>
        </w:rPr>
      </w:pPr>
      <w:r w:rsidRPr="009A0D89">
        <w:rPr>
          <w:rFonts w:cs="Times New Roman"/>
          <w:sz w:val="20"/>
          <w:szCs w:val="20"/>
        </w:rPr>
        <w:t>V2 - валютный индекс;</w:t>
      </w:r>
    </w:p>
    <w:p w:rsidR="009A0D89" w:rsidRPr="009A0D89" w:rsidRDefault="009A0D89" w:rsidP="009A0D89">
      <w:pPr>
        <w:ind w:firstLine="426"/>
        <w:contextualSpacing/>
        <w:rPr>
          <w:rFonts w:cs="Times New Roman"/>
          <w:sz w:val="20"/>
          <w:szCs w:val="20"/>
        </w:rPr>
      </w:pPr>
      <w:r w:rsidRPr="009A0D89">
        <w:rPr>
          <w:rFonts w:cs="Times New Roman"/>
          <w:sz w:val="20"/>
          <w:szCs w:val="20"/>
        </w:rPr>
        <w:t>V3 - корзина валют;</w:t>
      </w:r>
    </w:p>
    <w:p w:rsidR="009A0D89" w:rsidRPr="009A0D89" w:rsidRDefault="009A0D89" w:rsidP="009A0D89">
      <w:pPr>
        <w:ind w:firstLine="426"/>
        <w:contextualSpacing/>
        <w:rPr>
          <w:rFonts w:cs="Times New Roman"/>
          <w:sz w:val="20"/>
          <w:szCs w:val="20"/>
        </w:rPr>
      </w:pPr>
      <w:r w:rsidRPr="009A0D89">
        <w:rPr>
          <w:rFonts w:cs="Times New Roman"/>
          <w:sz w:val="20"/>
          <w:szCs w:val="20"/>
        </w:rPr>
        <w:t>V4 - валюты и процентные ставки;</w:t>
      </w:r>
    </w:p>
    <w:p w:rsidR="009A0D89" w:rsidRPr="009A0D89" w:rsidRDefault="009A0D89" w:rsidP="009A0D89">
      <w:pPr>
        <w:ind w:firstLine="426"/>
        <w:contextualSpacing/>
        <w:rPr>
          <w:rFonts w:cs="Times New Roman"/>
          <w:sz w:val="20"/>
          <w:szCs w:val="20"/>
        </w:rPr>
      </w:pPr>
      <w:r w:rsidRPr="009A0D89">
        <w:rPr>
          <w:rFonts w:cs="Times New Roman"/>
          <w:sz w:val="20"/>
          <w:szCs w:val="20"/>
        </w:rPr>
        <w:t>A - договор, являющийся производным финансовым инструментом;</w:t>
      </w:r>
    </w:p>
    <w:p w:rsidR="009A0D89" w:rsidRPr="009A0D89" w:rsidRDefault="009A0D89" w:rsidP="009A0D89">
      <w:pPr>
        <w:ind w:firstLine="426"/>
        <w:contextualSpacing/>
        <w:rPr>
          <w:rFonts w:cs="Times New Roman"/>
          <w:sz w:val="20"/>
          <w:szCs w:val="20"/>
        </w:rPr>
      </w:pPr>
      <w:r w:rsidRPr="009A0D89">
        <w:rPr>
          <w:rFonts w:cs="Times New Roman"/>
          <w:sz w:val="20"/>
          <w:szCs w:val="20"/>
        </w:rPr>
        <w:t>X - смешанный портфель, корзина неоднородных активов;</w:t>
      </w:r>
    </w:p>
    <w:p w:rsidR="00C31728" w:rsidRDefault="009A0D89" w:rsidP="009A0D89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 – иное.</w:t>
      </w:r>
    </w:p>
    <w:p w:rsidR="00E25B79" w:rsidRDefault="00E25B79" w:rsidP="009A0D89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 графах 49-50 подраздела 4.4 раздела 4 указывается информация о центральном контрагенте. Если сделка осуществлена без участия центрального контрагента указывается значение «Сделка без ЦК».</w:t>
      </w:r>
    </w:p>
    <w:p w:rsidR="00E25B79" w:rsidRDefault="00E25B79" w:rsidP="009A0D89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 графах 51-52 подраздела 4.4 раздела 4 указывается информация о контрагенте по производному финансовому инструменту.</w:t>
      </w:r>
    </w:p>
    <w:p w:rsidR="00E25B79" w:rsidRDefault="00E25B79" w:rsidP="009A0D89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 графе 53 указывается тип производного финансового инструмента: «Расчетный» или «Поставочный».</w:t>
      </w:r>
    </w:p>
    <w:p w:rsidR="00E25B79" w:rsidRDefault="00E25B79" w:rsidP="00E25B79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 графе 54 указывается периодичность начисления вариационной маржи в днях. Если вариационная маржа не начисляется</w:t>
      </w:r>
      <w:r w:rsidR="001B2FEA">
        <w:rPr>
          <w:rFonts w:cs="Times New Roman"/>
          <w:sz w:val="20"/>
          <w:szCs w:val="20"/>
        </w:rPr>
        <w:t>, то</w:t>
      </w:r>
      <w:r>
        <w:rPr>
          <w:rFonts w:cs="Times New Roman"/>
          <w:sz w:val="20"/>
          <w:szCs w:val="20"/>
        </w:rPr>
        <w:t xml:space="preserve"> указывается </w:t>
      </w:r>
      <w:r w:rsidR="001B2FEA">
        <w:rPr>
          <w:rFonts w:cs="Times New Roman"/>
          <w:sz w:val="20"/>
          <w:szCs w:val="20"/>
        </w:rPr>
        <w:t xml:space="preserve">значение </w:t>
      </w:r>
      <w:r>
        <w:rPr>
          <w:rFonts w:cs="Times New Roman"/>
          <w:sz w:val="20"/>
          <w:szCs w:val="20"/>
        </w:rPr>
        <w:t>«Нет».</w:t>
      </w:r>
    </w:p>
    <w:p w:rsidR="00175467" w:rsidRDefault="00175467" w:rsidP="00126AD4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В графе 4 подраздела 4.5 раздела 4 указывается наименование производного финансового инструмента, присвоенное организатором торговли или иностранной торговой площадкой, на которой совершена сделка.</w:t>
      </w:r>
    </w:p>
    <w:p w:rsidR="00945329" w:rsidRDefault="00945329" w:rsidP="008300AE">
      <w:pPr>
        <w:ind w:firstLine="426"/>
        <w:contextualSpacing/>
        <w:rPr>
          <w:rFonts w:cs="Times New Roman"/>
          <w:sz w:val="20"/>
          <w:szCs w:val="20"/>
        </w:rPr>
      </w:pPr>
      <w:r w:rsidRPr="00E25B79">
        <w:rPr>
          <w:rFonts w:cs="Times New Roman"/>
          <w:sz w:val="20"/>
          <w:szCs w:val="20"/>
        </w:rPr>
        <w:t>В графе 5 подраздела 4.5 раздела 4 указывается нетто-позиция по производному финансовому инструменту, принимающая положительное или отрицательное значение, в зависимости от количества приобретенных и проданных производных финансовых инструментов.</w:t>
      </w:r>
    </w:p>
    <w:p w:rsidR="0098268B" w:rsidRDefault="00442344" w:rsidP="00126AD4">
      <w:pPr>
        <w:ind w:firstLine="426"/>
        <w:contextualSpacing/>
        <w:rPr>
          <w:rFonts w:cs="Times New Roman"/>
          <w:sz w:val="20"/>
          <w:szCs w:val="20"/>
        </w:rPr>
      </w:pPr>
      <w:r w:rsidRPr="00945329">
        <w:rPr>
          <w:rFonts w:cs="Times New Roman"/>
          <w:sz w:val="20"/>
          <w:szCs w:val="20"/>
        </w:rPr>
        <w:t>В</w:t>
      </w:r>
      <w:r w:rsidR="00945329" w:rsidRPr="00945329">
        <w:rPr>
          <w:rFonts w:cs="Times New Roman"/>
          <w:sz w:val="20"/>
          <w:szCs w:val="20"/>
        </w:rPr>
        <w:t xml:space="preserve"> графе 9 подраздела 4.5</w:t>
      </w:r>
      <w:r w:rsidRPr="00945329">
        <w:rPr>
          <w:rFonts w:cs="Times New Roman"/>
          <w:sz w:val="20"/>
          <w:szCs w:val="20"/>
        </w:rPr>
        <w:t xml:space="preserve"> раздела 4 указывается </w:t>
      </w:r>
      <w:r w:rsidR="0098268B" w:rsidRPr="00945329">
        <w:rPr>
          <w:rFonts w:cs="Times New Roman"/>
          <w:sz w:val="20"/>
          <w:szCs w:val="20"/>
        </w:rPr>
        <w:t>совокупная величина индивидуального клирингового</w:t>
      </w:r>
      <w:r w:rsidR="0098268B" w:rsidRPr="0098268B">
        <w:rPr>
          <w:rFonts w:cs="Times New Roman"/>
          <w:sz w:val="20"/>
          <w:szCs w:val="20"/>
        </w:rPr>
        <w:t xml:space="preserve"> обеспечения, рассчитываемая клиринговой организацией в рублях по всем производным финансовым инструментам и аналогичным им договорам, заключенным профессиональным участником в собственных интересах и учитываемым клиринговой организацией на одном и том же клиринговом регистре</w:t>
      </w:r>
      <w:r w:rsidR="0098268B">
        <w:rPr>
          <w:rFonts w:cs="Times New Roman"/>
          <w:sz w:val="20"/>
          <w:szCs w:val="20"/>
        </w:rPr>
        <w:t>.</w:t>
      </w:r>
    </w:p>
    <w:p w:rsidR="00143CC8" w:rsidRDefault="00C90E49" w:rsidP="00126AD4">
      <w:pPr>
        <w:ind w:firstLine="426"/>
        <w:contextualSpacing/>
        <w:rPr>
          <w:rFonts w:cs="Times New Roman"/>
          <w:sz w:val="20"/>
          <w:szCs w:val="20"/>
        </w:rPr>
      </w:pPr>
      <w:r w:rsidRPr="00C90E49">
        <w:rPr>
          <w:rFonts w:cs="Times New Roman"/>
          <w:sz w:val="20"/>
          <w:szCs w:val="20"/>
        </w:rPr>
        <w:t>В подразделе 4.6 раздела 4</w:t>
      </w:r>
      <w:r>
        <w:rPr>
          <w:rFonts w:cs="Times New Roman"/>
          <w:sz w:val="20"/>
          <w:szCs w:val="20"/>
        </w:rPr>
        <w:t xml:space="preserve"> указываются сведения о р</w:t>
      </w:r>
      <w:r w:rsidRPr="00C90E49">
        <w:rPr>
          <w:rFonts w:cs="Times New Roman"/>
          <w:sz w:val="20"/>
          <w:szCs w:val="20"/>
        </w:rPr>
        <w:t>асчет</w:t>
      </w:r>
      <w:r>
        <w:rPr>
          <w:rFonts w:cs="Times New Roman"/>
          <w:sz w:val="20"/>
          <w:szCs w:val="20"/>
        </w:rPr>
        <w:t>ах</w:t>
      </w:r>
      <w:r w:rsidRPr="00C90E49">
        <w:rPr>
          <w:rFonts w:cs="Times New Roman"/>
          <w:sz w:val="20"/>
          <w:szCs w:val="20"/>
        </w:rPr>
        <w:t xml:space="preserve"> величины рыночного риска по продвинутому методу</w:t>
      </w:r>
      <w:r>
        <w:rPr>
          <w:rFonts w:cs="Times New Roman"/>
          <w:sz w:val="20"/>
          <w:szCs w:val="20"/>
        </w:rPr>
        <w:t>.</w:t>
      </w:r>
    </w:p>
    <w:p w:rsidR="00143CC8" w:rsidRDefault="00143CC8" w:rsidP="00143CC8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 графе 3 подраздела 4.6 раздела 4 указывается</w:t>
      </w:r>
      <w:r w:rsidR="005C5949">
        <w:rPr>
          <w:rFonts w:cs="Times New Roman"/>
          <w:sz w:val="20"/>
          <w:szCs w:val="20"/>
        </w:rPr>
        <w:t xml:space="preserve"> </w:t>
      </w:r>
      <w:r w:rsidR="005C5949" w:rsidRPr="00945329">
        <w:rPr>
          <w:rFonts w:cs="Times New Roman"/>
          <w:sz w:val="20"/>
          <w:szCs w:val="20"/>
        </w:rPr>
        <w:t>тип группы</w:t>
      </w:r>
      <w:r w:rsidR="005C5949">
        <w:rPr>
          <w:rFonts w:cs="Times New Roman"/>
          <w:sz w:val="20"/>
          <w:szCs w:val="20"/>
        </w:rPr>
        <w:t>, по которой осуществляется расчет величины рыночного риска:</w:t>
      </w:r>
    </w:p>
    <w:p w:rsidR="00143CC8" w:rsidRDefault="00143CC8" w:rsidP="00143CC8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«</w:t>
      </w:r>
      <w:r w:rsidRPr="001D0C5C">
        <w:rPr>
          <w:rFonts w:cs="Times New Roman"/>
          <w:sz w:val="20"/>
          <w:szCs w:val="20"/>
        </w:rPr>
        <w:t>основной</w:t>
      </w:r>
      <w:r>
        <w:rPr>
          <w:rFonts w:cs="Times New Roman"/>
          <w:sz w:val="20"/>
          <w:szCs w:val="20"/>
        </w:rPr>
        <w:t>»;</w:t>
      </w:r>
    </w:p>
    <w:p w:rsidR="00143CC8" w:rsidRDefault="00143CC8" w:rsidP="00126AD4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«</w:t>
      </w:r>
      <w:r w:rsidRPr="001D0C5C">
        <w:rPr>
          <w:rFonts w:cs="Times New Roman"/>
          <w:sz w:val="20"/>
          <w:szCs w:val="20"/>
        </w:rPr>
        <w:t>валютный</w:t>
      </w:r>
      <w:r>
        <w:rPr>
          <w:rFonts w:cs="Times New Roman"/>
          <w:sz w:val="20"/>
          <w:szCs w:val="20"/>
        </w:rPr>
        <w:t>»;</w:t>
      </w:r>
    </w:p>
    <w:p w:rsidR="00C90E49" w:rsidRDefault="00143CC8" w:rsidP="00C90E49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«</w:t>
      </w:r>
      <w:r w:rsidRPr="001D0C5C">
        <w:rPr>
          <w:rFonts w:cs="Times New Roman"/>
          <w:sz w:val="20"/>
          <w:szCs w:val="20"/>
        </w:rPr>
        <w:t>процентный</w:t>
      </w:r>
      <w:r>
        <w:rPr>
          <w:rFonts w:cs="Times New Roman"/>
          <w:sz w:val="20"/>
          <w:szCs w:val="20"/>
        </w:rPr>
        <w:t>».</w:t>
      </w:r>
    </w:p>
    <w:p w:rsidR="00C90E49" w:rsidRDefault="00C90E49" w:rsidP="00C90E49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Значения в графах 4 – 6 подраздела 4.6 раздела 4 рассчитываются в соответствии с пунктами 6.4 – 6.6 </w:t>
      </w:r>
      <w:r w:rsidR="005C5949">
        <w:rPr>
          <w:rFonts w:cs="Times New Roman"/>
          <w:sz w:val="20"/>
          <w:szCs w:val="20"/>
        </w:rPr>
        <w:t>Указания</w:t>
      </w:r>
      <w:r w:rsidR="005C5949" w:rsidRPr="00B17643">
        <w:rPr>
          <w:rFonts w:cs="Times New Roman"/>
          <w:sz w:val="20"/>
          <w:szCs w:val="20"/>
        </w:rPr>
        <w:t xml:space="preserve"> Банка России № </w:t>
      </w:r>
      <w:r w:rsidR="005C5949" w:rsidRPr="00E25B79">
        <w:rPr>
          <w:rFonts w:cs="Times New Roman"/>
          <w:sz w:val="20"/>
          <w:szCs w:val="20"/>
        </w:rPr>
        <w:t>ХХХ</w:t>
      </w:r>
      <w:r w:rsidR="005C5949" w:rsidRPr="00B17643">
        <w:rPr>
          <w:rFonts w:cs="Times New Roman"/>
          <w:sz w:val="20"/>
          <w:szCs w:val="20"/>
        </w:rPr>
        <w:t>-</w:t>
      </w:r>
      <w:r w:rsidR="005C5949">
        <w:rPr>
          <w:rFonts w:cs="Times New Roman"/>
          <w:sz w:val="20"/>
          <w:szCs w:val="20"/>
        </w:rPr>
        <w:t>У.</w:t>
      </w:r>
    </w:p>
    <w:p w:rsidR="00493E7E" w:rsidRDefault="00493E7E" w:rsidP="00C90E49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 графе 1 раздела 5</w:t>
      </w:r>
      <w:r w:rsidRPr="00493E7E">
        <w:rPr>
          <w:rFonts w:cs="Times New Roman"/>
          <w:sz w:val="20"/>
          <w:szCs w:val="20"/>
        </w:rPr>
        <w:t xml:space="preserve"> указывается наименование производного финансового инструмента, присвоенное организатором торговли или иностранной торговой площадкой, на которой совершена сделка.</w:t>
      </w:r>
      <w:r>
        <w:rPr>
          <w:rFonts w:cs="Times New Roman"/>
          <w:sz w:val="20"/>
          <w:szCs w:val="20"/>
        </w:rPr>
        <w:t xml:space="preserve"> Если сделка осуществлена на внебиржевом рынке указывается общее описание, позволяющее идентифицировать указанный производный финансовый инструмент.</w:t>
      </w:r>
    </w:p>
    <w:p w:rsidR="001B2FEA" w:rsidRPr="00911525" w:rsidRDefault="001B2FEA" w:rsidP="00C90E49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В графе 3 раздела 5 указывается </w:t>
      </w:r>
      <w:r w:rsidRPr="001B2FEA">
        <w:rPr>
          <w:rFonts w:cs="Times New Roman"/>
          <w:sz w:val="20"/>
          <w:szCs w:val="20"/>
        </w:rPr>
        <w:t>номинал</w:t>
      </w:r>
      <w:r>
        <w:rPr>
          <w:rFonts w:cs="Times New Roman"/>
          <w:sz w:val="20"/>
          <w:szCs w:val="20"/>
        </w:rPr>
        <w:t>ьная стоимость базового актива в тысячах рублей</w:t>
      </w:r>
      <w:r w:rsidRPr="001B2FEA">
        <w:rPr>
          <w:rFonts w:cs="Times New Roman"/>
          <w:sz w:val="20"/>
          <w:szCs w:val="20"/>
        </w:rPr>
        <w:t>. Если базовым активом является производный финансовый инструмент, то указывается номинальная стоимость его базового актива.</w:t>
      </w:r>
    </w:p>
    <w:sectPr w:rsidR="001B2FEA" w:rsidRPr="00911525" w:rsidSect="009758E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ACB"/>
    <w:multiLevelType w:val="hybridMultilevel"/>
    <w:tmpl w:val="EE7CCE9C"/>
    <w:lvl w:ilvl="0" w:tplc="495CA8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docVars>
    <w:docVar w:name="_AMO_ReportControlsVisible" w:val="Empty"/>
    <w:docVar w:name="_AMO_UniqueIdentifier" w:val="e1ac1bee-4bdc-4b72-a911-a6b668ddedda"/>
  </w:docVars>
  <w:rsids>
    <w:rsidRoot w:val="005552D3"/>
    <w:rsid w:val="00052A8D"/>
    <w:rsid w:val="000B4A74"/>
    <w:rsid w:val="000E1FBA"/>
    <w:rsid w:val="00126AD4"/>
    <w:rsid w:val="00143CC8"/>
    <w:rsid w:val="00175467"/>
    <w:rsid w:val="00183794"/>
    <w:rsid w:val="0019374C"/>
    <w:rsid w:val="001B2FEA"/>
    <w:rsid w:val="002A0DD2"/>
    <w:rsid w:val="0031517C"/>
    <w:rsid w:val="003711B3"/>
    <w:rsid w:val="003C0285"/>
    <w:rsid w:val="003F3EC5"/>
    <w:rsid w:val="00412F3D"/>
    <w:rsid w:val="00442344"/>
    <w:rsid w:val="00493E7E"/>
    <w:rsid w:val="00525DAE"/>
    <w:rsid w:val="00526C4A"/>
    <w:rsid w:val="005552D3"/>
    <w:rsid w:val="005A4E94"/>
    <w:rsid w:val="005A60DD"/>
    <w:rsid w:val="005C5949"/>
    <w:rsid w:val="00617851"/>
    <w:rsid w:val="00666E3C"/>
    <w:rsid w:val="006D712C"/>
    <w:rsid w:val="007052F8"/>
    <w:rsid w:val="00720894"/>
    <w:rsid w:val="00796FA6"/>
    <w:rsid w:val="008300AE"/>
    <w:rsid w:val="008547FB"/>
    <w:rsid w:val="008D59BE"/>
    <w:rsid w:val="00911525"/>
    <w:rsid w:val="009311D9"/>
    <w:rsid w:val="00945329"/>
    <w:rsid w:val="0098268B"/>
    <w:rsid w:val="009A0D89"/>
    <w:rsid w:val="00A8147F"/>
    <w:rsid w:val="00AD1D7B"/>
    <w:rsid w:val="00B35C9A"/>
    <w:rsid w:val="00B50251"/>
    <w:rsid w:val="00BB5395"/>
    <w:rsid w:val="00C31728"/>
    <w:rsid w:val="00C90E49"/>
    <w:rsid w:val="00CA73ED"/>
    <w:rsid w:val="00CC5250"/>
    <w:rsid w:val="00D4265E"/>
    <w:rsid w:val="00D443AB"/>
    <w:rsid w:val="00D62172"/>
    <w:rsid w:val="00D74AD6"/>
    <w:rsid w:val="00DD5CDD"/>
    <w:rsid w:val="00E25B79"/>
    <w:rsid w:val="00E34316"/>
    <w:rsid w:val="00E752FF"/>
    <w:rsid w:val="00F8757E"/>
    <w:rsid w:val="00FF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DD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CDD"/>
    <w:pPr>
      <w:ind w:left="720"/>
      <w:contextualSpacing/>
    </w:pPr>
  </w:style>
  <w:style w:type="paragraph" w:styleId="a4">
    <w:name w:val="No Spacing"/>
    <w:uiPriority w:val="1"/>
    <w:qFormat/>
    <w:rsid w:val="00DD5CD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2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7C03085F808544D404392A149A6ECA4B3408347B20FE78F903DDEEE1065D56F7BC1D12EA9E55B4j1C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7C03085F808544D404392A149A6ECA4B340F337820FE78F903DDEEE1j0C6J" TargetMode="External"/><Relationship Id="rId5" Type="http://schemas.openxmlformats.org/officeDocument/2006/relationships/hyperlink" Target="consultantplus://offline/ref=AC7C03085F808544D404392A149A6ECA4B3408347B20FE78F903DDEEE1065D56F7BC1D12EA9E55B4j1CB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 Алексей Эдуардович</dc:creator>
  <cp:lastModifiedBy>Кудинова</cp:lastModifiedBy>
  <cp:revision>2</cp:revision>
  <dcterms:created xsi:type="dcterms:W3CDTF">2017-12-19T08:56:00Z</dcterms:created>
  <dcterms:modified xsi:type="dcterms:W3CDTF">2017-12-19T08:56:00Z</dcterms:modified>
</cp:coreProperties>
</file>